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84.315 vom 22. Juni 1984</w:t>
      </w:r>
    </w:p>
    <w:p>
      <w:r>
        <w:t>Bundesverwaltung, 1984-06-22, DE</w:t>
      </w:r>
    </w:p>
    <w:p>
      <w:r>
        <w:rPr>
          <w:b/>
        </w:rPr>
        <w:t xml:space="preserve">Quelle: </w:t>
      </w:r>
      <w:r>
        <w:t>https://mcp.opencaselaw.ch/entscheid/ch_vb_84.315</w:t>
      </w:r>
    </w:p>
    <w:p>
      <w:r>
        <w:t>FR: CH_VB 84.315 du 22 juin 1984</w:t>
      </w:r>
    </w:p>
    <w:p>
      <w:r>
        <w:t>IT: CH_VB 84.315 del 22 giugno 1984</w:t>
      </w:r>
    </w:p>
    <w:p>
      <w:pPr>
        <w:pStyle w:val="Heading2"/>
      </w:pPr>
      <w:r>
        <w:t>Erwägungen</w:t>
      </w:r>
    </w:p>
    <w:p>
      <w:r>
        <w:rPr>
          <w:b/>
        </w:rPr>
        <w:t>E. 22</w:t>
      </w:r>
    </w:p>
    <w:p>
      <w:r>
        <w:t>juin 1984 4. Demonstration der Wirksamkeit unseres politischen Systems, das damit eine kohärente und unserer Demokratie angepasste Kompromisslösung für drei schwierige Pro- bleme gefunden hätte, die uns seit zehn Jahren beschäfti- gen (Kernenergie, Umweltschutz und Energiepolitik). Schriftliche Stellungnahme des Bundesrates Rapport écrit du Conseil fédéral 84.315 Energiesparen und Verminderung der Emissionen Nachdem der Energieartikel am 27. Februar 1983 am Stän- demehr gescheitert war, beschloss der Bundesrat am 6. Juli 1983, die Energiepolitik durch Nutzung der bestehenden rechtlichen Möglichkeiten auf allen Stufen zu verstärken. Zur Verwirklichung einer rationellen Energieverwendung sind Kantone, Gemeinden, Wirtschaft und Bevölkerung auf- gerufen, trotz anhaltendem Erdölüberschuss vermehrte Anstrengungen zu unternehmen. Der Bund ist bereit, seine Mitwirkung im Rahmen des Mögli- chen zu intensivieren. Die bestehenden Rechtsgrundlagen auf Bundesebene sollen genutzt werden. Energiesparmass- nahmen im Gebäudebereich lassen sich insbesondere auf- grund des Umweltschutzgesetzes einführen. Das Sofortpro- gramm «Waldsterben» vom 12. März 1984 enthält bereits derartige Massnahmen (obligatorische Feuerungskontrolle, Typenprüfungen und Vorschriften über die Dimensionie- rung und Ausrüstung von Heizungsanlagen, Vorschriften über die Gebäudeisolation). Weitere Massnahmen werden im Zusammenhang mit dem Waldsterben bearbeitet. Die von der Motion geforderte Koordination der Energie- sparpolitik mit dem Umweltschutzgesetz ist gewährleistet. Die auch von der Energie-Initiative angestrebten Massnah- men sind zum Teil bereits realisiert, zum Teil werden sie geprüft. Die Motion liegt auf der Linie der bundesrätlichen Energiepolitik. In diesem Sinne ist der Bundesrat bereit, die Anliegen einzubeziehen und zu prüfen. Der Bundesrat beantragt deshalb, die Motion in ein Postulat umzuwandeln. 84.316 Importierte Primärenergie. Abgabe An der mit Botschaft vom 25. Juni 1980 beantragten Unter- stellung der bisher befreiten Energieträger unter die Waren- umsatzsteuer (BB11980 II 909, 926) hält der Bundesrat nach wie vor fest (Bericht zum Legislaturfinanzplan 1985 bis 1987 vom 18. Januar 1984, BBI 1984 l 287, 292). Die zusätzliche Einführung einer Kausal- oder Mehrzweckabgabe auf im- portierten Primärenergien wäre politisch nicht realisierbar, abgesehen von der verfassungsrechtlichen Fragwürdigkeit. Die Zweckbindung dieser Mittel ist nicht nur aus finanzpoli- tischen Überlegungen abzulehnen. Breite Streusubventio- nen für die Anwendung von Techniken zur Verminderung von Emissionen, für die rationelle Energieverwendung und für den Einsatz erneuerbarer Energien hätten einen grossen Verwaltungsaufwand zur Folge. Sie können auch zu volks- wirtschaftlich teuren Fehlinvestitionen führen. Gemäss Botschaft des Bundesrates über Grundsatzfragen der Energiepolitik sind derartige Programme nach den mas- siven Erdölpreissteigerungen nicht mehr erforderlich. Aus diesen Gründen lehnt der Bundesrat die Motion ab. 84.317 Elektrizitätsverwendung und Wärme-Kraft-Koppelung Die von der Motion geforderten Massnahmen im Elektrizi- tätsbereich werden gegenwärtig aufgrund des Postulates des Nationalrates (Petitpierre) geprüft. Der Bundesrat hat in seiner Botschaft «Kaiseraugst» (BB119821830) die für einen rationellen Elektrizitätseinsatz anzustrebenden Grundsätze dargelegt: «- Vermeidung von Tarifen, die bei höherem Verbrauch zu tieferen Gesamtkosten führen; - Vermeidung von Mindestbezugsvorschriften; - Vermeidung einer Benachteiligung der Tarife für die elek- trische Wärmepumpe gegenüber der elektrischen Vollhei- zung; - Aufhebung bestehender gemeinsamer Abrechnungen für mehrere Verbraucher, soweit dies technisch möglich ist. Für jeden Verbraucher sind Zähler zu installieren; - Aufhebung von Differenzierungen beim Arbeitspreis nach Bezugsmenge, Bezügergruppe oder Verwendungszweck. Andere Differenzierungen (Tag/Nacht, Sommer/Winter, Hochspannung/Niederspannung, Versorgungsnähe und -dichte sind je nach Verhältnissen zulässig.» Aus Gründen der Rechtsgleichheit und aus versorgungspo- litischen Erwägungen können Massnahmen nicht allein auf Elektrizität, sondern müssten auf alle leitungsgebundenen Energien angewendet werden. Dafür fehlt die Verfassungs- grundlage. Der Bundesrat lehnt die Motion ab. Gesamtpaket Die drei Motionen Wick (84.315, 84.316, 84.317) sind als materieller Gegenvorschlag zu den Volksinitiativen «für eine Zukunft ohne weitere Atomkraftwerke» und «für eine sichere, sparsame und umweltgerechte Energieversor- gung» (Atom- und Energie-Initiative) gedacht. Die wichtig- sten Forderungen dieser Initiativen (Energiesparmassnah- men, Energiesteuer, Subventionen für Massnahmen zur rationellen Energieverwendung und zur Nutzung regenerier- barer Energien sowie Elektrizitätssparmassnahmen und Förderung der dezentralen Wärme-Kraft-Koppelung als Vor- aussetzung für die Ablehnung des Bedarfes für das Kern- kraftwerk Kaiseraugst) sind in den Motionen enthalten. Die rechtlichen Grundlagen dieser Massnahmen müssten zum Teil noch geprüft werden. Einige umstrittene Anliegen der Initiativen fehlen in den Motionen, insbesondere die Befreiung des Grundbedarfes von der Energiesteuer, die verfassungsmässige Zweckbin- dung der Steuer für die Ziele und Massnahmen der Initiative, der befristete Baustopp für grössere Kraftwerke bei gleich- zeitiger Blockierung von Energiesparmassnahmen zufolge einer Verzögerung der Ausführungsgesetzgebung (gemäss den Übergangsbestimmungen der Energie-Initiative), ferner das Verbot des Ersatzes bestehender Kernkraftwerke (inkl. Leibstadt), die erzwungene Umverteilung der Forschungs- mittel und die Aufhebung der Garantien für eine föderalisti- sche Energiepolitik. Die Verwirklichung der mit den Motionen geforderten Mass- nahmen würde zu einer weitgehenden Änderung der vom Bundesrat verfolgten Energiepolitik führen. Der Ausbau der Kernenergie würde - zumindest auf absehbare Zeit - blok- kiert Der bisherige ordnungspolitische Rahmen der Energiepolitik würde gesprengt. Der Entscheid über die beiden Initiativen würde erneut verzögert. Der Bundesrat wird aber prüfen, ob eine neue Verfassungs- grundlage für eine wirksame Energiepolitik vorzubereiten ist. Allerdings ist zuvor der Entscheid zu den beiden hängi- gen Volksinitiativen nötig. Schriftliche Erklärung des Bundesrates Déclaration écrite du Conseil fédéral Der Bundesrat empfiehlt, die erste Motion (Energiesparen und Verminderung der Emissionen) in ein Postulat umzu- wandeln und die beiden anderen Motionen abzulehnen. Motion 84.315 Überwiesen als Postulat - Transmis comme postulat Motionen 84.316 und 84.317 Motions 84.316 et 84.317 Diskussion verschoben - Discussion renvoyée</w:t>
      </w:r>
    </w:p>
    <w:p>
      <w:r>
        <w:t>Schweizerisches Bundesarchiv, Digitale Amtsdruckschriften Archives fédérales suisses, Publications officielles numérisées Archivio federale svizzero, Pubblicazioni ufficiali digitali Motion Wick Elektrizitätsverwendung und Wärme-Kraft-Koppelung Motion Wick Loi sur l'utilisation de l'énergie électrique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84.317 Numéro d'objet Numero dell'oggetto Datum 22.06.1984 - 08:00 Date Data Seite 980-982 Page Pagina Ref. No 20 012 555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