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83.909 vom 16. Dezember 1983</w:t>
      </w:r>
    </w:p>
    <w:p>
      <w:r>
        <w:t>Bundesverwaltung, 1983-12-16, DE</w:t>
      </w:r>
    </w:p>
    <w:p>
      <w:r>
        <w:rPr>
          <w:b/>
        </w:rPr>
        <w:t xml:space="preserve">Quelle: </w:t>
      </w:r>
      <w:r>
        <w:t>https://mcp.opencaselaw.ch/entscheid/ch_vb_83.909</w:t>
      </w:r>
    </w:p>
    <w:p>
      <w:r>
        <w:t>FR: CH_VB 83.909 du 16 décembre 1983</w:t>
      </w:r>
    </w:p>
    <w:p>
      <w:r>
        <w:t>IT: CH_VB 83.909 del 16 dicembre 1983</w:t>
      </w:r>
    </w:p>
    <w:p>
      <w:pPr>
        <w:pStyle w:val="Heading2"/>
      </w:pPr>
      <w:r>
        <w:t>Erwägungen</w:t>
      </w:r>
    </w:p>
    <w:p>
      <w:r>
        <w:rPr>
          <w:b/>
        </w:rPr>
        <w:t>E. 16</w:t>
      </w:r>
    </w:p>
    <w:p>
      <w:r>
        <w:t>décembre 1983 C'est ici le lieu de rappeler les faits déjà connus depuis un certain temps, d'après lesquels les indicateurs et autres informateurs touchent en France pour leurs activités des sommes pouvant atteindre le tiers du montant de l'affaire en cause. Ce droit, expressément consenti par l'Etat français, représente une invite non négligeable à des actions illégales. Depuis toujours, le Conseil fédéral tente de faire respecter les règles de droit en vigueur dans notre pays par tous les moyens à sa disposition. Dans le présent cas, domine au premier chef une poursuite pénale pour service de rensei- gnements économiques, au sens de l'article 273 CP. Selon les résultats, il importera d'examiner si l'état de fait de l'article 271 CP - actes exécutés sans droit pour un Etat étranger - est donné ou non. Le président: L'auteur de l'interpellation est satisfait. #ST# 82.903 Interpellation Vetsch Beschaffung eines neuen Kampfpanzers Acquisition d'un nouveau char de combat 83.334 Interpellation Ogi Beschaffung neuer Kampfpanzer Acquisition de nouveaux chars de combat Wortlaut der Interpellation Vetsch vom 30. November 1982 Der Bundesrat wird um die Beantwortung folgender Fragen gebeten: 1. In der Diskussion um die Frage der Eigenentwicklung eines Kampfpanzers in der Junisession 1980 kam unmiss- verständlich die bestimmte Erwartung zum Ausdruck, dass die Möglichkeit einer schweizerischen Konstruktion für ein übernächstes Modell offen bleiben müsse. Teilt der Bundesrat diese Auffassung? 2. Ist der Bundesrat bereit, als beste Alternative zur Eigen- entwicklung im militärischen wie im volkswirtschaftlichen Interesse für die nächste Beschaffung die Lizenzfabrikation mit einem wesentlich über der Hälfte liegenden schweizeri- schen Produktionsanteil und einem schweizerischen Gene- ralunternehmer sicherzustellen? 3. Durch die Vorteile wie Arbeitsplatzsicherung und Erhal- tung einer leistungsfähigen eigenen Rüstungsindustrie rechtfertigt sich ein namhafter Mehrpreis. Bei einer gesamt- haften und langfristigen Beurteilung handelt es sich tatsäch- lich nur um scheinbare Mehrkosten. In welcher Grössenordnung sieht der Bundesrat die verant- wortbaren Mehrkosten zugunsten eines hohen inländischen Produktionsanteils? Wie bewertet er die volkswirtschaftlichen und militärischen Vorteile? Texte de l'interpellation Vetsch du 30 novembre 1982 Le Conseil fédéral est invité à répondre aux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