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83.463 vom 23. März 1984</w:t>
      </w:r>
    </w:p>
    <w:p>
      <w:r>
        <w:t>Bundesverwaltung, 1984-03-23, DE</w:t>
      </w:r>
    </w:p>
    <w:p>
      <w:r>
        <w:rPr>
          <w:b/>
        </w:rPr>
        <w:t xml:space="preserve">Quelle: </w:t>
      </w:r>
      <w:r>
        <w:t>https://mcp.opencaselaw.ch/entscheid/ch_vb_83.463</w:t>
      </w:r>
    </w:p>
    <w:p>
      <w:r>
        <w:t>FR: CH_VB 83.463 du 23 mars 1984</w:t>
      </w:r>
    </w:p>
    <w:p>
      <w:r>
        <w:t>IT: CH_VB 83.463 del 23 marzo 1984</w:t>
      </w:r>
    </w:p>
    <w:p>
      <w:pPr>
        <w:pStyle w:val="Heading2"/>
      </w:pPr>
      <w:r>
        <w:t>Erwägungen</w:t>
      </w:r>
    </w:p>
    <w:p>
      <w:r>
        <w:rPr>
          <w:b/>
        </w:rPr>
        <w:t>E. 23</w:t>
      </w:r>
    </w:p>
    <w:p>
      <w:r>
        <w:t>mars 1984 werden. Im Vordergrund stehsn Fragen wie gebrochener/ ungebrochener Bildungsgang, Schulen des zweiten Bil- dungswegs, neue Fächer, halbe Noten usw. - In einer zweiten Phase und längerfristig beantragt die EDK eine Totalrevision der MAV. Ihr Ziel wäre, eine MAV mit Rahmencharakter zu erarbeiten, d. h. Minimal- und Maxi- malanforderungen zu formulie'en, innerhalb deren Grenzen Spielraum für lokale, regionae oder kantonale Lösungen verbliebe. Auch hier dürfte allerdings die Allgemeingültig- keit und das Niveau der Maturität nicht in Frage gestellt werden. Vorerst geht es also um die Verwirklichung der ersten Phase. Das EDI hat in diesem Zusammenhang bereits am 16. März 1983 eine Kommissioi-in ihrsind die wichtigsten an Mittelschul- und Maturitätüfragen interessierten Kreise vertreten - mit dem Auftrag eingesetzt, die anstehenden Revisionspostulate zu prüfen und sobald als möglich ausfor- mulierte Lösungsvorschläge vorzulegen. Die vom Motionär speziell erwähnten Revisionspunkte sind somit bereits an die Hand genommen worden. Was die sogenannte inhaltliche Reform, also die Überprü- fung der Lernziele und Stoffprogramme betrifft, so hat die EDK, damit die MAV nicht unbedingt tangiert zu werden braucht, schon vor einiger Zeit ihre Kommission für Mittel- schulfragen mit den entsprechenden Vorarbeiten betraut. Dieser Bereich wird also voreist auf interkantonaler Ebene zusammen mit den jeweiligen Fachverbänden einer einge- henden Prüfung unterzogen. Die MAV ist zweifellos in verschiedenen Punkten zu über- denken und neuen Gegebenheiten anzupassen. Die ständig zunehmende Bedeutung beispielsweise der Informatik für fast alle Lebensbereiche mag verdeutlichen, dass die Mittel- schule sich diesem neuen Wissenszweig nicht wird ver- schliessen können und dass ihm auf angemessene Weise in der MAV wird Rechnung getragen werden müssen. Auch die Bestimmungen über den gebrochenen und den ungebro- chenen Bildungsgang - um ein weiteres Beispiel zu nennen - werden überprüft werden müssen. War der mindestens sechsjährige ungebrochene gymnasiale Bildungsgang bei der Schaffung der entsprechenden Bestimmungen zweifel- los der Regelfall und der gebrochene Weg die Ausnahme, so wird heute die frühere Ausnahme mehr und mehr zur allge- meinen Regel. Auch diese Entwicklung wird zu berücksich- tigen sein. Aus dem Gesagten ergibt sich, dass wir die allgemeine Zielrichtung des vorliegenden Vorstosses unterstützen. Was aber die konkreten Forderungen, insbesondere jene hin- sichtlich der Einführung neuor Fächer (Sport, Informatik, GegenwartsVStaatskunde, Pädagogik/Psychologie) betrifft, sehen wir uns nicht in der Lage, einen derartigen direkten Regelungsauftrag entgegenzunehmen. Zieht man in Betracht, dass noch andere Fächer (z. B. Phi- losophie, musische Fächer) ,auf eine «Aufwertung» zum eidgenössischen Maturitätsfach warten, so ist es fraglich, ob alle in der vom Motionär genannten Art berücksichtigt wer- den können. Der Fächerkanon der MAV muss zweifellos in seiner Gesamtheit überdacht werden. Erst dann wird sich zeigen, welches Fach zusätz ich eingeführt und welches allenfalls mit einem bestehenden Fach kombiniert oder abgetauscht werden könnte. Gleichzeitig muss auch über- prüft werden, welche Fächer in dieser neuen Situation zum Stamm der obligatorischen Fâcher und welche zum Kreis der Wahlprüfungsfächer gezahlt werden. Es handelt sich auch darum, die Gymnasiallehrpläne nicht zu überladen. Um bei diesen und andren Fragen den Spielraum der ange- laufenen MAV-Revision nicht ullzu stark einzuengen, sollte die Motion in die weniger verbindliche Form eines Postula- tes umgewandelt werden. Bei dieser Gelegenheit müsser wir zudem darauf hinweisen, dass dieser Vorstoss wohl auch aus rechtlichen Erwägun- gen kaum als Motion entgegengenommen werden könnte, da die rechtliche Zulässigkeit einer Motion im delegierten Rechtsetzungsbereich grundsätzlich zu verneinen ist (vgl. dazu VPD43I 1979 Nr. 1). Schriftliche Erklärung des Bundesrates Déclaration écrite du Conseil fédéral Der Bundesrat beantragt, die Motion in ein Postulat umzu- wandeln. Überwiesen als Postulat - Transmis comme postulat #ST# 83.470 Motion (Forel)-Dafflon Drogensucht. Vorbeugung und Behandlung Toxicomanie. Prévention et soins nécessaires Wortlaut der Motion vom 15. Juni 1983 Der Bundesrat wird beauftragt, mit den Kantonen die erfor- derlichen Massnahmen für eine wirksame Vorbeugung und Behandlung der Suchtkrankheiten zu treffen. Texte de la motion du 15 juin 1983 Le Conseil fédéral est chargé de prendre, avec les cantons, toutes les mesures nécessaires pour la prévention et le traitement efficace des toxicomanies. Mitunterzeichner - Cosignataires: Auer, Biel, Carobbio, Christinat, (Crevoisier), Dafflon, Deneys, Gautier, (Gerwig, Girard), Herczog, Hubacher, Jaggi, Loetscher, Longet, (Magnin), Mascarin, Meizoz, Pitteloud, Riesen-Fribourg, Robbiani, Ruffy, (Spreng), Vannay, Weber Monika, (Ziegler- Genève) (26) Schriftliche Begründung - Développement par écrit Le rapport de la commission extra-parlementaire concer- nant les toxicomanes a été reçu très froidement par la presse en général et a causé une très vive déception auprès des parents de drogués et des drogués eux-mêmes. En effet, à part quelques bons conseils très paternalistes pour l'en- tourage de ces malades, aucune mesure concrète n'est prévue. Quant aux institutions et aux médecins qui s'occupent de toxicomanes, leur déception est tout aussi forte. Nous revenons donc à la charge auprès du Conseil fédéral pour plusieurs raisons. 1. Chaque année, le nombre des toxicomanes augmente. 2. Chaque année, le nombre de morts déclarés par «over- dose» augmente. 3. Chaque année, la délinquance due à la toxicomanie augmente. 4. Chaque année, la déchéance humaine à la toxicomanie augmente. A de rarissimes exceptions près, l'incarcération des toxico- manes ne les guérit pas: au contraire, elle augmente encore leur état d'angoisse et de manque de confiance en eux- mêmes. Tous les toxicomanes n'ont pas besoin d'établissements spécialisés de surveillances et psychothérapies, mais pour un bon nombre d'entre eux, c'est une nécessité. Il est évident que certains hôpitaux psychiatriques ne sont pas adaptés a ce genre de malades, se contenant d'un sevrage physique rapide. A noter encore que certains établissements pour toxicomanes ont dû fermer leurs portes faute de forces. En outre, de nombreux toxicomanes peuvent être soignés ambulatoirement par des soins psychothérapeutiques et médicamenteux, ce qui a l'immense avantage de pouvoir les maintenir le plus souvent dans une ambiance sociale sauve, tout en étant au bénéfice d'une ergothérapie «automati- que», ce qui leur permet d'être économiquement indépen- dants.</w:t>
      </w:r>
    </w:p>
    <w:p>
      <w:r>
        <w:t>Schweizerisches Bundesarchiv, Digitale Amtsdruckschriften Archives fédérales suisses, Publications officielles numérisées Archivio federale svizzero, Pubblicazioni ufficiali digitali Motion Bircher Maturitäts-Anerkennungsverordnung Motion Bircher Ordonnance sur la reconnaissance des certificats de maturité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83.463 Numéro d'objet Numero dell'oggetto Datum 23.03.1984 - 08:00 Date Data Seite 410-412 Page Pagina Ref. No 20 012 321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