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83.378 vom 14. Dezember 1984</w:t>
      </w:r>
    </w:p>
    <w:p>
      <w:r>
        <w:t>Bundesverwaltung, 1984-12-14, DE</w:t>
      </w:r>
    </w:p>
    <w:p>
      <w:r>
        <w:rPr>
          <w:b/>
        </w:rPr>
        <w:t xml:space="preserve">Quelle: </w:t>
      </w:r>
      <w:r>
        <w:t>https://mcp.opencaselaw.ch/entscheid/ch_vb_83.378</w:t>
      </w:r>
    </w:p>
    <w:p>
      <w:r>
        <w:t>FR: CH_VB 83.378 du 14 décembre 1984</w:t>
      </w:r>
    </w:p>
    <w:p>
      <w:r>
        <w:t>IT: CH_VB 83.378 del 14 dicembre 1984</w:t>
      </w:r>
    </w:p>
    <w:p>
      <w:pPr>
        <w:pStyle w:val="Heading2"/>
      </w:pPr>
      <w:r>
        <w:t>Erwägungen</w:t>
      </w:r>
    </w:p>
    <w:p>
      <w:r>
        <w:rPr>
          <w:b/>
        </w:rPr>
        <w:t>E. 14</w:t>
      </w:r>
    </w:p>
    <w:p>
      <w:r>
        <w:t>Dezember 1984 N 1903 Motion der Fraktion NA/Vigilants fait ressortir un journaliste, est visiblement embarrassée. A mon avis, le Conseil fédéral cherche surtout des arguments pour ne rien entreprendre, il n'ose pas refuser ma motion mais il cherche à faire croire qu'elle ne sert pas à grand- chose. Par exemple, il coupe les cheveux en quatre lorsqu'il répond: «II ne faut pas méconnaître le fait que les auteurs d'infraction contre les mœurs se trouvent souvent réunis spontanément, ce qui n'est pas le cas en matière de vol ou de brigandage.» Je ne crois pas que cette argumentation byzantine soit très convaincante. En effet, seul le résultat compte et il est clair et indiscutable que la violence est plus aisée et les viols plus faciles lorsqu'ils sont commis par plusieurs personnes. En l'occurrence pour la victime, il est de peu d'intérêt de savoir si ses agresseurs ont prémédité leur forfait ou s'ils se sont réunis spontanément. Ma motion avait été signée par la majorité de ce conseil, soit cent et un collègues dont vous-même, Madame la Conseillère fédérale. Il me semble que le gouvernement aurait pu en tenir compte. Plusieurs signataires ne sont plus parmi nous, aussi j'en appelle à la compréhension et à l'ouverture d'esprit des nouveaux venus. Je trouve qu'il est regrettable que le Con- seil fédéral n'ait pas prêté plus d'attention à une démarche qui a suscité une telle vague de fond. Ce matin même, la presse reparle de l'affaire des viols de Pré-Naville à Genève, dans laquelle onze jeunes gens avaient été inculpés. C'est dire que ce problème est, malheureusement, toujours d'ac- tualité. Entre le moment où le Conseil fédéral a répondu à ma motion et le jour où cet objet a été inscrit à l'ordre du jour, un changement de taille est intervenu à la tête du département. C'est donc vous-même, Madame la Conseil- lère fédérale, qui aujourd'hui devez assumer la responsabi- lité de la réponse. C'est pourquoi en tant que femme, je m'adresse à vous d'une façon particulière, sur un problème qui touche les femmes très directement. Je fais donc appel à votre sensibilité féminine pour vous demander de m'aider, de me soutenir dans cette requête et d'accepter ma motion en tant que telle et non pas sous la forme d'un postulat. Au nom de toutes les femmes, je vous en remercie d'avance. Bundesrätin Kopp: Der Bundesrat verkennt in keiner Weise das echte und berechtigte Anliegen von Frau Christinat. Offensichtlich war auch der Rat dieser Meinung, denn eine Mehrheit des Rates hat die Motion unterzeichnet. Frau Chri- stinat hat richtigerweise darauf hingewiesen, dass auch ich zu den Unterzeichnern dieser Motion gehöre. Wenn der Bundesrat Ihnen die Umwandlung in ein Postulat vorschlägt, so also nicht deswegen, weil er das Anliegen nicht anerkennt, sondern weil er es innerhalb der Revision des Allgemeinen Teils des Straf rechtes prüfen möchte. Es ist im übrigen nicht ausgeschlossen, dass die Kommission, die gegenwärtig an der Revision des Besonderen Teils ist, die- sen Vorschlag aufnehmen wird. Aber grundsätzlich ist dazu festzuhalten, dass es auch andere Verbrechen gibt, die, wenn sie bandenmässig begangen werden, schwerwiegen- der sind. Ich denke beispielsweise an schwere Körperverlet- zung, an Nötigung oder Freiheitsberaubung. Auch bei die- sen Straftatbeständen müsste es erschwerend wirken, wenn sie bandenmässig begangen werden. Das ist der Grund, warum der Bundesrat die Motion als Postulat entgegenneh- men und eine entsprechende Regelung im Allgemeinen Teil vorsehen möchte, so dass die Verschärfung bei bandenmäs- siger Begehung bei allen Verbrechen, inklusive der Not- zucht, die Frau Christinat angesprochen hat, anwendbar wäre. Präsident: Frau Christinat hält an der Motion fest. Wir stim- men ab. Abstimmung - Vote Für die Überweisung als Motion Für die Überweisung als Postulat 80 Stimmen 35 Stimmen #ST# 84.370 Motion der Fraktion der Nationalen Aktion/Vigilants Bürgerrecht. Erwerb durch Heirat Motion du groupe de l'Action nationale/vigilants Acquisition de la nationalité par mariage Wortlaut der Motion vom 15. März 1984 Der Bundesrat wird eingeladen, den geltenden Artikel 3 Bürgerrechtsgesetz spätestens auf den 30. Juni 1984ausser Kraft zu setzen. Für die auf der Basis des neuen Artikels 44 Absatz 1 BV (Volksabstimmung vom 4. Dezember 1983) erst noch auszuarbeitende neue gesetzliche Regelung ist eine rückwirkende Geltung ab 1. Juli 1984 vorzusehen. Texte de la motion du 15 mars Le Conseil fédéral est chargé de faire le nécessaire pour que soit abrogé, au plus tard le 30 juin 1984, l'actuel article 3 de la loi sur l'acquisition et la perte de la nationalité suisse. Pour la nouvelle réglementation légale qui doit encore être élaborée sur la base du nouvel article 44, 1er alinéa est. (votation populaire du 4 décembre 1983), il y aura lieu d'en prévoir l'application rétroactive au 1er juillet 1984. Sprecher - Porte-parole Oehen Schriftliche Begründung - Développement par écrit Die erste Vorlage in der Volksabstimmung vom 4. Dezember 1983 wurde nach unserer Auffassung deshalb angenom- men, weil sich zahlreiche Mitbürger damit ein rasches Ende des üblen Missstandes des missbräuchlichen Erwerbs des Bürgerrechts durch Heirat erhofften. Der vom Bundesrat angegebene Zeitplan (siehe Antwort zur Einfachen Anfrage Oehen 83.756) strapaziert die Geduld des Schweizervolkes in unerträglicher Art. Die in der Motion aufgezeigte Übergangsregelung vermöch- te der politischen Situation gerecht zu werden. Schriftliche Stellungnahme des Bundesrates vom 16. Mai 1984 Rapport écrit du Conseil fédéral du 16 mai 1984 1. Der Bundesrat ist nicht zuständig, Artikel 3 BüG, wonach die ausländische Frau durch Eheschliessung mit einem Schweizer Bürger das Schweizer Bürgerrecht erwirbt, selb- ständig ausser Kraft zu setzen. Hiezu bedürfte es vielmehr einer Gesetzesrevision, die durch eine Botschaft des Bun- desrates eingeleitet werden müsste. Der Bundesrat hat am</w:t>
      </w:r>
    </w:p>
    <w:p>
      <w:r>
        <w:rPr>
          <w:b/>
        </w:rPr>
        <w:t>E. 18</w:t>
      </w:r>
    </w:p>
    <w:p>
      <w:r>
        <w:t>April 1984 die Botschaft betreffend das Bürgerrecht der Kinder eines schweizerischen Elternteils verabschiedet und darin vorgeschlagen, das Bürgerrechtsgesetz in zwei Etap- pen zu revidieren. In einer ersten Etappe soll das Bürger- recht der Kinder eines schweizerischen Elternteils, in einer zweiten dasjenige der ausländischen Ehepartner von Schweizer Bürgern revidiert werden. Der Grund für das etappenweise Vorgehen besteht darin, dass sich die Neure- gelung des Bürgerrechts der Kinder eines schweizerischen Elternteils im Gegensatz zur Revision des Bürgerrechts der Ehegatten, die noch eingehende Vorarbeiten erfordert, sofort realisieren lässt. Die Motion steht in Widerspruch mit dem in der Botschaft beantragten Vorgehen. 2. Ein folgerichtiges Vorgehen besteht darin, gleichzeitig mit der Streichung von Artikel 3 BüG die Möglichkeit der erleichterten Einbürgerung für ausländische Ehepartner von Schweizerinnen und Schweizern zu schaffen. Die beiden Punkte bilden sachlich eine Einheit; an die Stelle des auto- matischen Bürgerrechtserwerbs der Ausländerin durch Hei- rat mit einem Schweizer soll eine Regelung treten, die Mann und Frau gleichbehandelt. Der ausländische Ehepartner einer Schweizerin oder eines Schweizers soll deshalb in Zukunft in einem erleichterten Verfahren eingebürgert wer- 240-N</w:t>
      </w:r>
    </w:p>
    <w:p>
      <w:r>
        <w:t>Schweizerisches Bundesarchiv, Digitale Amtsdruckschriften Archives fédérales suisses, Publications officielles numérisées Archivio federale svizzero, Pubblicazioni ufficiali digitali Motion Christinat Strafbare Handlungen gegen die Sittlichkeit. Revison des Strafgesetzbuches Motion Christinat Infractions contre les mœurs. Révision du code pénal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17 Séance Seduta Geschäftsnummer 83.378 Numéro d'objet Numero dell'oggetto Datum 14.12.1984 - 08:00 Date Data Seite 1901-1903 Page Pagina Ref. No</w:t>
      </w:r>
    </w:p>
    <w:p>
      <w:r>
        <w:rPr>
          <w:b/>
        </w:rPr>
        <w:t>E. 20</w:t>
      </w:r>
    </w:p>
    <w:p>
      <w:r>
        <w:t>012 984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