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83.353 vom 7. Juni 1983</w:t>
      </w:r>
    </w:p>
    <w:p>
      <w:r>
        <w:t>Bundesverwaltung, 1983-06-07, DE</w:t>
      </w:r>
    </w:p>
    <w:p>
      <w:r>
        <w:rPr>
          <w:b/>
        </w:rPr>
        <w:t xml:space="preserve">Quelle: </w:t>
      </w:r>
      <w:r>
        <w:t>https://mcp.opencaselaw.ch/entscheid/ch_vb_83.353</w:t>
      </w:r>
    </w:p>
    <w:p>
      <w:r>
        <w:t>FR: CH_VB 83.353 du 7 juin 1983</w:t>
      </w:r>
    </w:p>
    <w:p>
      <w:r>
        <w:t>IT: CH_VB 83.353 del 7 giugno 1983</w:t>
      </w:r>
    </w:p>
    <w:p>
      <w:pPr>
        <w:pStyle w:val="Heading2"/>
      </w:pPr>
      <w:r>
        <w:t>Erwägungen</w:t>
      </w:r>
    </w:p>
    <w:p>
      <w:r>
        <w:rPr>
          <w:b/>
        </w:rPr>
        <w:t>E. 7</w:t>
      </w:r>
    </w:p>
    <w:p>
      <w:r>
        <w:t>juin 1983 Bundesrat gewillt ist, meine Überlegungen in Zukunft zu berücksichtigen. Er hat sogar von «prudence» gesprochen; das wäre ja eine hervorragende Tugend auf seiten des Bun- desrates. Dieser «prudence» möchte ich nicht entgegenste- hen. Aus diesem Grunde pflichte ich der Umwandlung bei. Eine politische Chance hätte aber auch darin bestehen kön- nen, unsere beiden Räte zu einer steuerpolitischen Äusse- rung zu bewegen. Damit haben sie eigentlich eine gute Gelegenheit verpasst, die Meinung unserer Kollegen hier und im Nationalrat zu testen. Aber wollen wir mal dem Postulat zustimmen in der bestimmten Meinung und festen Hoffnung, dass der Bundesrat sich bei den nächsten Schrit- ten zum Teil auch von meinen Überlegungen leiten lässt, um die Anregungen der Motion zu verwirklichen. Überwiesen als Postulat - Transmis comme postulat #ST# 83.021 Geschäftsbericht des Bundesrates, des Bundes- gerichts und des Eidgenössischen Versiche- rungsgerichts 1982 Gestion du Conseil fédéral, du Tribunal fédéral et du Tribunal fédéral des assurances 1982 Bericht des Bundesrates vom 23. Februar 1983, des Bundesgerichts vom 2. Februar 1983, des Eidgenössischen Versicherungsgerichts vom 31. Dezember 1982 Rapport du Conseil fédéral du 23 février 1983, du Tribunal fédéral du 2 février 1983, du Tribunal fédéral des assurances du 31 décembre 1982 Beschlussentwurf siehe Seite 333 des Berichts Projet d'arrêté voir page 333 du rapport Bezug durch die Eidgenössische Drucksachen- und Materialzentrale, Bern S'obtiennent auprès de l'Office central des imprimés et du matériel, Berne Dobler, Berichterstatter: In unserer Demokratie gilt es als selbstverständlich, dass der Bundesrat dem Parlament all- jährlich Rechenschaft über sein Handeln ablegen muss, und es gilt als fast ebenso selbstverständlich, dass er uns dabei eine wohlgeordnete und gut funktionierende Verwal- tung zeigen kann, in der schwerwiegende Mängel eine Aus- nahme darstellen. Beide Selbstverständlichkeiten sind aber nur scheinbar. Zum einen ist die Schweiz das einzige uns bekannte Land, in dem die Regierung einen solchen Rechenschaftsbericht vorzulegen hat. Zum anderen ist die Qualität unserer Verwaltung eine Leistung, die nicht ein für allemal feststeht, sondern immer wieder neu zu erbringen ist. Wenn dabei die Prüfung des Geschäftsberichtes gerade im Plenum unseres Rates eine Routineangelegenheit geworden ist, der in der Regel wenig Beachtung geschenkt wird, so darf sie nicht darüber hingwegtäuschen, dass es hier um ein wichtiges Instrument unserer demokratischen Einrichtung geht, das wir wohl im Rahmen unserer Möglich- keiten als Milizparlamentarier, aber doch mit optimalem Ein- satz anzuwenden verpflichtet sind. Wir verdanken es zu einem guten Teil unseren wohlausgewogenen Institutionen und unserer Wachsamkeit, die mögliche Fehlentwicklungen rechtzeitig zu erkennen und zu korrigieren suchen. Die Aufgabe der Geschäftsprüfungskommissionen ist in Artikel 57ter und folgende des Geschäftsverkehrsgesetzes umschrieben. Wenn darin von der Überwachung der Geschäftsführung der Eidgenössischen Verwaltung und der Rechtsprechung die Rede ist, kann damit nur die Oberauf- sicht gemeint sein, die dem Parlament gemäss Bundesver- fassung gesamtheitlich zusteht. Die Direktaufsicht übt, gemäss Artikel 102 Ziffer 15 der Bundesverfassung, der Bundesrat selbst aus. Daher sind die Geschäftsprüfungs- 25-S kommissionen weder fähig noch kompetent, eine dauernde und umfassende Kontrolle der Verwaltung auszuüben. Sie haben gegenüber der Verwaltung weder ein Weisungsrecht, noch ist es ihre Aufgabe, zukunftsgerichtete politische Akzente zu setzen. Zu diesem Zweck stehen dem Parla- ment andere Instrumente zur Verfügung, so insbesondere der Richtlinienbericht oder der Legislaturzwischenbericht. Der Bericht der Geschäftsprüfungskommission über die durchgeführten Inspektionen enthält nur einen relativ klei- nen Teil der Aktivitäten der Geschäftsprüfungskommission. Wir haben auch dieses Jahr wieder zahlreiche Fragen an die Departemente und die PTT gerichtet und die Antworten mit den Departementsvorstehern und den verantwortlichen Beamten erörtert. Einzelne Schwerpunkte werden von den Sprechern der Kommission zu jedem Departement noch hervorgehoben werden. Ebenso haben wir im vergangenen Jahr in jedem Departement eine ausgewählte Dienststelle besucht und ihre Aufgaben und Funktionsweise geprüft. Über die wichtigsten dieser Inspektionen orientiert der gedruckte Bericht der Kommission, den Sie erhalten haben. Insgesamt kommen wir auch dieses Jahr zu einem günsti- gen Urteil über unsere Bundesverwaltung. Dem Bundesrat und allen Beamten und Angestellten des Bundes möchten wir daher Dank und Anerkennung für die erbrachte Lei- stung aussprechen. Gestatten Sie mir, an dieser Stelle noch einige allgemeine Gedanken zur Qualität unserer Verwaltung und zu einem besonderen Mittel, mit dem diese Leistung kontrolliert und gefördert werden kann. Es wird nächstes Jahr zehn Jahre her sein, seit der Bundesrat der Verwaltung ein Führungs- hilfsmittel in die Hand gegeben hat, das auch im Ausland Beachtung findet: die Richtlinien für die Verwaltungsfüh- rung im Bund, das rote Büchlein, erlassen vom Bundesrat am 28. August 1974. Die Geschäftsprüfungskommission wird sich bei den diesjährigen Inspektionen besonders mit der Handhabung dieser Richtlinien befassen. Sie wird daher in einem Jahr näher über die Praxis der Verwaltungsführung orientieren können. Für heute beschränke ich mich auf Hin- weise zu jenem Teil der Richtlinien, die sich nach unserer bisherigen Erfahrung sowohl für die Verwaltung selber als auch für unsere Kontrolle über sie als bedeutsam erwiesen haben. Der oberste Grundsatz der Geschäftsführung ist im Verwal- tungsorganisationsgesetz festgehalten. Danach sind die Departemente und die ihnen unterstellten Verwaltungsein- heiten nach den Grundsätzen einer rechtmässigen, zweck- mässigen und leistungsfähigen Verwaltung zu organisieren und zu leiten (Art. 44). Diesen Zielen dienen auch die Richt- linien. Sie stellen eine Reihe von Grundprinzipien auf, regeln die strukturellen Voraussetzungen der Führung sowie die Führungstätigkeit selber und ihre Hilfsmittel. Zu den Grund- prinzipien zählt die kooperative Führung. Sie bedeutet kon- sequente Förderung von Initiative und Selbständigkeit der Mitarbeiter, aktive Mitwirkung aller Beteiligten am Füh- rungsprozess und überzeugende Begründung der Zielset- zung und der Entscheidung. Ihre Grenzen ergeben sich vor allem aus dem hierarchischen Aufbau der Verwaltung und der Notwendigkeit einer klaren Regelung der Entschei- dungsverantwortung, aber auch aus der Forderung nach Effizienz der Verwaltung. Jeder Vorgesetzte muss hier das richtige Mass finden. Erfolgreiche Führung darf nicht in den Tagesaktualitäten steckenbleiben. Sie erfordert Voraussicht, klare Zielsetzung für die Tätigkeit der Mitarbeiter und Wahrung einer klaren Prioritätenordnung. Diese Planung ist eine der wichtigsten Aufgaben der Vorgesetzten. Sie erfordert viel Zeit und Ein- satz. Gerade unter dem Druck der Personalknappheit ist entscheidend, dass diese scheinbar nicht unmittelbar pro- duktive Führungsarbeit verstärkt wird. Wo der Vorgesetzte zur Entlastung seiner Mitarbeiter vermehrt selber die Sach- bearbeitung übernimmt, läuft er Gefahr, die Führungsarbeit zu vernachlässigen. Diese Tendenz besteht in der Verwal- tung vor allem deshalb, weil die Auswahl der Vorgesetzten oft zu sehr nach fachlichen Qualifikationen erfolgt. Vorge- setzte wie Kandidaten einer Beförderung werden durch die</w:t>
      </w:r>
    </w:p>
    <w:p>
      <w:r>
        <w:t>Schweizerisches Bundesarchiv, Digitale Amtsdruckschriften Archives fédérales suisses, Publications officielles numérisées Archivio federale svizzero, Pubblicazioni ufficiali digitali Motion Muheim Finanzordnung Motion Muheim Régime financier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02 Séance Seduta Geschäftsnummer 83.353 Numéro d'objet Numero dell'oggetto Datum 07.06.1983 - 08:00 Date Data Seite 190-193 Page Pagina Ref. No 20 011 676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