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83.054 vom 5. Oktober 1983</w:t>
      </w:r>
    </w:p>
    <w:p>
      <w:r>
        <w:t>Bundesverwaltung, 1983-10-05, DE</w:t>
      </w:r>
    </w:p>
    <w:p>
      <w:r>
        <w:rPr>
          <w:b/>
        </w:rPr>
        <w:t xml:space="preserve">Quelle: </w:t>
      </w:r>
      <w:r>
        <w:t>https://mcp.opencaselaw.ch/entscheid/ch_vb_83.054</w:t>
      </w:r>
    </w:p>
    <w:p>
      <w:r>
        <w:t>FR: CH_VB 83.054 du 5 octobre 1983</w:t>
      </w:r>
    </w:p>
    <w:p>
      <w:r>
        <w:t>IT: CH_VB 83.054 del 5 ottobre 1983</w:t>
      </w:r>
    </w:p>
    <w:p>
      <w:pPr>
        <w:pStyle w:val="Heading2"/>
      </w:pPr>
      <w:r>
        <w:t>Erwägungen</w:t>
      </w:r>
    </w:p>
    <w:p>
      <w:r>
        <w:rPr>
          <w:b/>
        </w:rPr>
        <w:t>E. 5</w:t>
      </w:r>
    </w:p>
    <w:p>
      <w:r>
        <w:t>Oktober 1983 N 1385 ZGB. Persönlichkeitsschutz schaft und den EFTA-Ländern im Hinblick auf die besondere Qualität ihrer Beziehungen die Rede ist. Man nahm auch die Bemühungen zur Stärkung des Binnenmarktes zur Kenntnis und gab der Erwartung Ausdruck, dass die diesbezüglichen Massnahmen die engen Beziehungen zwischen den Frei- handelspartnern berücksichtigen sowie den GATT-Regeln entsprechen. Mit diesem Hinweis auf die GATT-Regeln will man eventuellen Versuchen von selten der Gemeinschaft, die EFTA-Länder in ihre Politik der Wiedereroberung des Binnenmarktes, die eine eindeutige Spitze gegen die USA und Japan aufweist, einzuspannen, entgegenwirken. Eine solche Politik würde nicht den schweizerischen Aussenhan- delsinteressen entsprechen. Dieser Punkt wurde besonders von National rat Gautier betont. e. Tätigkeitsbericht 1982/83. Das Komitee nahm auch zum Tätigkeitsbericht des EFTA-Generalsekretärs für die Zeit vom 15.September 1982 bis zum 15.Juni 1983 Stellung. Ständerat Dobler äusserte sich zum Kapitel über die Entwicklung der Beziehungen zwischen der EFTA und Jugoslawien, deren pragmatische Entwicklung er positiv würdigte. Ferner begrüsste er die Absicht des EFTA-Mini- sterrates, eine handelspolitische Vorwärtsstrategie im Rah- men von multilateralen Gremien wie dem GATT und der OECD zu führen. Die Entwicklung habe gezeigt, dass der Freihandel immer mehr Formen annehme, die den Bereich der traditionellen bilateralen Handelspolitik übersteigen. Der Interdependenz verschiedener Bereiche müsse daher grös- seres Gewicht beigemessen werden, weswegen er die vorge- sehene engere Zusammenarbeit zwischen den verschiede- nen internationalen Wirtschaftsorganisationen befürworte. Abschliessend wandte er sich noch den Themen staatliche Beihilfen und subventionierte Exportkredite zu, wo es aus schweizerischer Sicht noch einige Probleme zu lösen gibt. Die nächste ordentliche Sitzung findet auf Einladung des österreichischen Parlamentes nächstes Jahr in Wien statt. Wir bitten Sie, von diesem Bericht Kenntnis zu nehmen. Präsident: Es liegt ein schriftlicher Bericht des Delegations- präsidenten, Herrn Muheim, vor. Der Bericht wird verdankt. Herr Muheim bittet uns, von seinem Bericht Kenntnis zu nehmen. Das Wort wird nicht verlangt. Sie haben Kenntnis genommen. An den Ständerat - Au Conseil des Etats #ST# 82.036 ZGB. Persönlichkeitsschutz Code civil. Protection de la personnalité Fortsetzung - Suite Siehe Seite 1376 hiervor - Voir page 1376 ci-devant Jaeger: Namens unserer Fraktion beantrage ich Ihnen Zustimmung zu den Beschlüssen der Mehrheit Ihrer Kom- mission, in einem Falle zur Kommissionsminderheit, näm- lich zur Minderheit Merz. Auch unsere Fraktion befürwortet die privatrechtliche Ver- ankerung des Gegendarstellungsrecht.es einerseits und der vorsorglichen Massnahmen andererseits. Wir befinden uns hier in einer Konfliktzone zwischen dem Ziel des Schutzes der persönlichen Integrität auf der einen Seite und der Presse- und Medienfreiheit auf der anderen Seite. Es geht hier um eine Rechtsgüterabwägung, und diese scheint uns mit der vorliegenden Vorlage recht gut gelöst. Zweifel sind höchstens dort angebracht, wo es dann um die Anwendung geht, um die gerichtliche Praxis. Es stellt sich die Frage, ob hier nicht doch zum Teil noch etwas zu viel Ermessensspiel- raum gegeben ist. Im übrigen begrüssen wir auch die Spedi- tivität der Revision von Artikel 49 OR und 28 ZGB. Aber gerade diese Speditivität gibt Anlass zu einigen kritischen Bemerkungen. Wir müssen uns im klaren sein, dass diese Vorlage immerhin gewisse presserechtliche Einschränkun- gen bringt, dass es hier nun um die Überbrückung eines Konfliktes geht, bei dem in erster Linie die Persönlichkeit geschützt werden soll vor allfälligen Eingriffen der Medien. Wir hätten es im Sinne der Symmetrie lieber gesehen, wenn man diese Revision im Kontext vorgenommen hätte mit der Revision von anderen presserechtlichen Postulaten, die eher zugunsten der Regelung der Medienfreiheit gehen. In diesem Zusammenhang möchte ich an die Motion Binder erinnern und an einige parlamentarische Initiativen, auch an eine Interpellation, die ich zusammen mit meinem Kollegen Günter zu diesem Problemkreis eingereicht habe. Es geht in der Motion Binder ja nicht nur wie hier um den Schutz der persönlichen Integrität, es geht auch um die Revision des Geheimhaltungs- und Informationsrechtes, des Zeugnisver- weigerungsrechtes; alles Tatbestände, die ebenfalls einer Regelung harren. In diesem Zusammenhang erlaube ich mir, die Frage an Herrn Bundesrat Friedrich zu stellen, wie er den Fahrplan für die Revision dieser gesetzlichen Grund- lagen sieht. Denn es scheint mir sehr wichtig, dass wir hier doch eine symmetrische Politik betreiben; zusammen mit dem Schutz der persönlichen Integrität soll auch die andere Seite, die Freiheit der Presse, klar und sauber geregelt werden. In diesem Sinne bitte ich Sie um Zustimmung zu den Beschlüssen Ihrer nationalrätlichen Kommission. M. Butty: Au nom du groupe démocrate-chrétien, je vous propose d'entrer en matière. Notre groupe soutiendra les propositions de la commission. La présente révision tend à renforcer la protection de la personnalité, c'est pourquoi elle est importante, et particu- lièrement à notre époque où les atteintes portées par les médias aux droits de la personnalité peuvent être graves et doivent donc être prévenues. Les médias ce n'est pas seule- ment la presse écrite, c'est aussi et surtout, la radio et la télévision. La révision qui nous est proposée porte uniquement sur le droit privé. Elle ne concerne ni le droit public ni le droit pénal. Les règles générales fixées jusqu'ici, sur la base de l'article 28 du code civil suisse et de l'article 49 du code des obligations, ne sont pas remises en cause. Les fondements sont simplement renforcés, ils sont mieux explicités et ainsi plus accessibles aux particuliers, et cela est important à nos yeux. Je tiens ici à rendre hommage aux auteurs du projet. La lecture du message est agréable. Il est intelligible et concis, ce qui n'était pas toujours le cas de certains messages que nous avons eu l'occasion d'examiner. La révision de la loi qui nous est proposée apporte des solutions simples, directes, efficaces et rapides. C'est absolument nécessaire en cette matière. Le projet dont nous débattons améliore le fonctionnement des moyens mis à disposition des particuliers. Il introduit de nouvelles règles de procédure, parallèlement aux procé- dures possibles jusqu'ici, celles qui sont basées sur le code pénal, ainsi que celles que l'on peut fonder sur le droit civil, en vertu de l'article 28 du code civil et de l'article 49 du code des obligations, qui prévoient la réparation pour tort moral. On aurait pu s'inquiéter de cette nouvelle pénétration du droit fédéral dans la procédure. Nous sommes pourtant d'avis qu'elle est nécessaire et que l'institution des nouvelles règles se justifie par l'urgence du problème, qu'une certaine unité est indispensable dans les règles de procédure qui nous sont proposées. Il s'agit d'abord de l'introduction de mesures provisionnelles permettant d'intervenir immédiatement, soit pour interdire une atteinte illicite à la personnalité, soit pour la faire cesser. C'est une procédure simple et rapide, nous l'appuyons. La deuxième nouvelle règle concerne le for. Un certaine imprécision a toujours régné en cette matière, les procé-</w:t>
      </w:r>
    </w:p>
    <w:p>
      <w:r>
        <w:t>Schweizerisches Bundesarchiv, Digitale Amtsdruckschriften Archives fédérales suisses, Publications officielles numérisées Archivio federale svizzero, Pubblicazioni ufficiali digitali EFTA-Parlamentarier-Komitee. Bericht Comité parlementaire AELE. Rapport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12 Séance Seduta Geschäftsnummer 83.054 Numéro d'objet Numero dell'oggetto Datum 05.10.1983 - 08:00 Date Data Seite 1382-1385 Page Pagina Ref. No 20 011 802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