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82.953 vom 18. März 1983</w:t>
      </w:r>
    </w:p>
    <w:p>
      <w:r>
        <w:t>Bundesverwaltung, 1983-03-18, DE</w:t>
      </w:r>
    </w:p>
    <w:p>
      <w:r>
        <w:rPr>
          <w:b/>
        </w:rPr>
        <w:t xml:space="preserve">Quelle: </w:t>
      </w:r>
      <w:r>
        <w:t>https://mcp.opencaselaw.ch/entscheid/ch_vb_82.953</w:t>
      </w:r>
    </w:p>
    <w:p>
      <w:r>
        <w:t>FR: CH_VB 82.953 du 18 mars 1983</w:t>
      </w:r>
    </w:p>
    <w:p>
      <w:r>
        <w:t>IT: CH_VB 82.953 del 18 marzo 1983</w:t>
      </w:r>
    </w:p>
    <w:p>
      <w:pPr>
        <w:pStyle w:val="Heading2"/>
      </w:pPr>
      <w:r>
        <w:t>Erwägungen</w:t>
      </w:r>
    </w:p>
    <w:p>
      <w:r>
        <w:rPr>
          <w:b/>
        </w:rPr>
        <w:t>E. 18</w:t>
      </w:r>
    </w:p>
    <w:p>
      <w:r>
        <w:t>mars 1983 schatten, die Kehrichtverbrennungsanlagen betreiben. Über die Verwendung im Strassenbau entscheiden die Strassen- bauämter. Die wissenschaftlichen Kenntnisse, die techni- schen Erfahrungen und vor allem auch die erwarteten Vor- teile aus der Sicht des Gewässerschutzes und der Abfall- verwertung rechtfertigen aber eine derartige Verwertung der Kehrichtschlacke. Fachpublikationen über die Schlacken- und Klärschlamm- verwertung können beim Bundesamt für Umweltschutz ein- gesehen werden. Fragen zur Schlackeverwertung, die noch nicht abschliessend beantwortet sind, wie z. B. Korrosions- probleme an Metall- und Betonleitungen, werden anhand von Anwendungsbeispielen überprüft. Zudem erfolgt auch über die Landesgrenzen hinaus ein Erfahrungsaustausch, hat doch die Schlackenverwertung in Ländern mit zusätzli- chem grossem Schlackenanfall aus thermischen Kraftwer- ken eine noch viel grössere Bedeutung als in der Schweiz. Präsident: Herr Dirren erklärt sich teilweise befriedigt und verzichtet auf Diskussion. Herr Rubi wünscht das Wort zu einer persönlichen Erklä- rung. Rubi: Was hier dargeboten wird, möchte ich schlechthin als Skandal bezeichnen! Es scheint nicht entscheidend, wenn hier darüber befunden wird, ob ein Vorstoss bedeutungs- voll ist oder nicht. Es ist entscheidend, aus welcher «Küche» der Vorstoss kommt. In diesem Fall wird die Dis- kussion abgelehnt. Nur wenn er aus der richtigen «Küche» kommt, wird Diskussion beschlossen. Das ist ein völlig unseriöses Vorgehen. #ST# Petitionen und Gesuche Petitions et plaintes 82.252 Gutweniger Oskar, Zürich. Strafklage gegen Mitglieder des Nationalrates und des Ständerates sowie gegen Bundesrichter Plaintes pénales contre des membres des Chambres et des juges du Tribunal fédéral Herr Duboule unterbreitet namens der Petitions- und Gewährleistungskommission den folgenden schriftlichen Bericht: 1. Oskar Gutweniger reichte im Jahre 1977 bei der Geschäftsprüfungskommission (GPK) des Nationalrates eine Aufsichtsbeschwerde ein, in der er sich dagegen wehrte, dass er von den Gerichten in bezug auf einen bestimmten Komplex von Rechtsstreitigkeiten prozessunfä- hig erklärt wurde. Die Kommission prüfte das Begehren und beschloss, ihm keine Folge zu geben. Auf ein Wiedererwä- gungsgesuch trat die Kommission nicht ein. Im März 1980 gelangte H. Gutweniger mit einer zweiten Ein- gabe an die GPK. Diese prüfte das Begehren unter dem Gesichtspunkt von Artikel 21 des Bundesgesetzes über die Organisation der Bundesrechtspflege und stellte fest, dass die Praxis des Bundesgerichts im Rahmen des geltenden Rechts keine ungleiche Verweigerung des Zugangs des Bürgers zu den Gerichten darstellt. Es liege auch keine Gesetzeslücke vor, die dadurch geschlossen werden müsste, dass dem Prozessunfähigen in jedem Fall ein Bei- stand beigegeben werden müsste. Die Kommission gab der Aufsichtsbeschwerde keine Folge. 2. Mit Schreiben vom 8. und 17. März 1982 reichte Gutweni- ger Strafklage gegen die Nationalräte Barchi, Frau Blunschy und Frau Lang sowie gegen Herrn Ständerat Aubert wegen Amtsmissbrauchs ein (Art. 312 des Strafgesetzbuches, StGB). Er wirft den ehemaligen Mitgliedern der GPK vor, sie hätten die ihnen obliegenden Aufsichtskompetenzen missbraucht, als sie seine Aufsichtseingabe betreffend das Bundesge- richt ablehnten, «ohne überhaupt den Aspekt der gerügten Rechtsverweigerung bzw. die Verletzung fundamentaler Rechtsgrundsätze je zur Sprache gebracht zu haben ...». Damit hätten sie anderen Zwecken als der Wahrheitsfin- dung gedient. Am 3. August 1982 richtete Herr Gutweniger 35 Feststel- lungsklagen an das Finanzdepartement, die er zugleich als Strafklagen wegen Amtsmissbrauchs gegen zahlreiche Bundesrichter bezeichnete. 3. Die Petitions- und Gewährleistungskommission des Nationalrates und die Petitionskommission des Ständerates prüften die Eingaben des Gesuchstellers am 1. bzw. am 13. September 1982. Sie kamen zum Schluss, dass die Eingaben offensichtlich unhaltbar sind und beschlossen, den Strafklagen keine Folge zu gehen. Mit Schreiben vom 30. November 1982 teil- ten die Kommissionspräsidenten diesen Entscheid dem Gesuchsteller mit (Art. 40 Abs. 3 Geschäftsreglement des Nationalrates; Art. 38 Abs. 4 Geschäftsreglement des Stän- derates). Am 6. Dezember 1982 beschwerte sich Oskar Gutweniger über die Art der Erledigung seiner Eingaben. Er verlangt, dass die Räte die Abweisung seiner Strafklagen ausführlich begründen. Mit Schreiben vom 31. Januar 1982 hat Herr Gutweniger die Strafanzeige gegen Frau Lang zurückgezogen. Gleichzeitig reichte er eine Strafklage gegen den Kommissionspräsiden- ten wegen Amtsmissbrauchs ein. Er wirft Herrn Nationalrat Oester vor, die Strafanzeigen nicht ordnungsgemäss der Kommission unterbreitet zu haben. Die Kommission hat am 7. Februar 1983 die Eingaben des Gesuchstellers geprüft. Herr Oester und Frau Blunschy tra- ten in den Ausstand; Herr Barchi hatte sich für die Kommis- sionssitzung entschuldigen lassen. 4. Nach Artikel 14 Absatz 1 des Verantwortlichkeitsgeset- zes bedarf die Strafverfolgung von Mitgliedern des Natio- nal- oder des Ständerates und von durch die Bundesver- sammlung gewählten Behördemitgliedern und Magistrats- personen wegen strafbarer Handlungen, die sich auf ihre amtliche Tätigkeit beziehen, einer Ermächtigung der eidge- nössischen Räte. Die Ratsreglemente sehen vor, dass Begehren um Aufhe- bung der Immunität von Ratsmitgliedern oder Magistrats- personen zur Vorprüfung der Petitions- und Gewährlei- stungskommission bzw. der Petitionskommission unterbrei- tet werden (Art. 41 Abs. 1 Geschäftsreglement des Natio- nalrates; Art. 38 Abs. 4 Geschäftsreglement des Ständera- tes). Die vorberatende Kommission hat zu prüfen, ob eine Straf- untersuchung geboten oder angezeigt ist und dem Rat Antrag zu stellen. Kommt sie zum Schluss, dass die Vor- würfe offensichtlich unbegründet sind, kann sie von sich aus die Ermächtigung verweigern. Kann dagegen der Anschuldigung eine gewisse Plausibilität nicht abgespro- chen werden, hat die Bundesversammlung zu entscheiden, ob die Durchführung eines Strafverfahrens opportun ist. 5. Amtsmissbrauch begehen Mitglieder einer Behörde oder Beamte, die ihre Amtsgewalt missbrauchen, um sich oder einem anderen einen unrechtmässigen Vorteil zu verschaf- fen oder einem Dritten einen Nachteil zuzufügen. Die Kom- mission konnte in den Eingaben Gutwenigers keine Anhaltspunkte für die Annahme finden, die angeschuldigten Ratsmitglieder und Bundesrichter hätten bewusst Recht gebeugt. Der Gesuchsteller kann nicht beweisen oder glaubhaft machen, dass die kritisierten Entscheide objektiv unhaltbar sind und dass die Bundesrichter bzw. die Mitglie- der der Geschäftsprüfungskommission vorsätzlich falsch urteilten. Die Tatsache, dass die Entscheide des Bundesgerichtes und der Geschäftsprüfungskommission anders ausfielen, als er es erwartet hatte, ist kein Grund für die Einleitung</w:t>
      </w:r>
    </w:p>
    <w:p>
      <w:r>
        <w:t>Schweizerisches Bundesarchiv, Digitale Amtsdruckschriften Archives fédérales suisses, Publications officielles numérisées Archivio federale svizzero, Pubblicazioni ufficiali digitali Interpellation Dirren Klärschlamm und Kehrichtschlacken. Wiederverwendung Interpellation Dirren Boues d'épuration et déchets solides. Réutilisation.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82.953 Numéro d'objet Numero dell'oggetto Datum 18.03.1983 - 08:00 Date Data Seite 553-554 Page Pagina Ref. No</w:t>
      </w:r>
    </w:p>
    <w:p>
      <w:r>
        <w:rPr>
          <w:b/>
        </w:rPr>
        <w:t>E. 20</w:t>
      </w:r>
    </w:p>
    <w:p>
      <w:r>
        <w:t>011 363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