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82.593 vom 7. März 1983</w:t>
      </w:r>
    </w:p>
    <w:p>
      <w:r>
        <w:t>Bundesverwaltung, 1983-03-07, DE</w:t>
      </w:r>
    </w:p>
    <w:p>
      <w:r>
        <w:rPr>
          <w:b/>
        </w:rPr>
        <w:t xml:space="preserve">Quelle: </w:t>
      </w:r>
      <w:r>
        <w:t>https://mcp.opencaselaw.ch/entscheid/ch_vb_82.593</w:t>
      </w:r>
    </w:p>
    <w:p>
      <w:r>
        <w:t>FR: CH_VB 82.593 du 7 mars 1983</w:t>
      </w:r>
    </w:p>
    <w:p>
      <w:r>
        <w:t>IT: CH_VB 82.593 del 7 marzo 1983</w:t>
      </w:r>
    </w:p>
    <w:p>
      <w:pPr>
        <w:pStyle w:val="Heading2"/>
      </w:pPr>
      <w:r>
        <w:t>Erwägungen</w:t>
      </w:r>
    </w:p>
    <w:p>
      <w:r>
        <w:rPr>
          <w:b/>
        </w:rPr>
        <w:t>E. 7</w:t>
      </w:r>
    </w:p>
    <w:p>
      <w:r>
        <w:t>März 1983. Es geht um die Amtszeitdauer der ausserpar- lamentarischen Kommissionen. Die grosse Zahl dieser Kommissionen können Sie aus dem Staatskalender entneh- men. Sie beanspruchen dort etwa 120 Seiten, wobei die Zusammenstellung unvollständig ist. Mit der Verordnung vom 2. März 1977 verordnete der Bun- desrat ein Höchstalter für die Kommissionsmitglieder und eine Amtszeitbeschränkung auf vier Amtsdauern, also auf total 16 Jahre. Ich verlangte vom Bundesrat, er solle eine differenzierte Anwendung dieser Amtsdauer beschliessen und diese starre Regelung nicht aufrechterhalten. Der Bun- desrat lehnt das Begehren ab mit der Begründung, dass verschiedene Kantone ähnliche Regelungen hätten, dass eine ständige Rotation erwünscht sei, dass unterschiedli- che Regelungen eine stossende Rechtsungleichheit erge- ben würden und dass die delegierenden Organisationen über eine ganze Reihe ausgewiesener Repräsentanten ver- fügen würden, damit ein Ersatz gewährleistet sei. Der Bun- desrat hat mit seiner summarischen Regelung einen einfa- chen Weg gewählt. Er kann aber nicht allen Verhältnissen gerecht werden. Ich möchte das an den drei Beispielen, die ich in der Begründung angegeben habe, darlegen. Das erste Beispiel betrifft sogenannt politisch zusammen- gesetzte Kommissionen. Für diese Kommissionen befür- worte ich durchaus die Regelung, die der Bundesrat getrof- fen hat. Dort ist eine Rotation erwünscht, und es stehen diesen politischen Organisationen zahlreiche Leute zur Ver- fügung, welche sie delegieren können. Das zweite Beispiel betrifft eidgenössische Rekursinstan- zen. Ich erwähne das Beispiel der Eidgenössischen Pacht- zinskommission. Sie ist die oberste Instanz zur Festsetzung von Pachtzinsen. Ein Weiterzug an das Bundesgericht ist nur für formelle Mängel möglich, nicht aber zur Beurteilung der Sachfrage. Es handelt sich also um ein eigentiches Ver- waltungsgericht. Bei keinem Gericht des Landes ist es sonst üblich, dass man Amtszeitbeschränkungen einführt, weil es dort im Hinblick auf eine ausgeglichene und ausge- wogene Rechtssprechung ausgesprochen erwünscht ist,</w:t>
      </w:r>
    </w:p>
    <w:p>
      <w:r>
        <w:t>Schweizerisches Bundesarchiv, Digitale Amtsdruckschriften Archives fédérales suisses, Publications officielles numérisées Archivio federale svizzero, Pubblicazioni ufficiali digitali Motion Meier Fritz Ausländer. Begrenzung der Einwanderung Motion Meier Fritz Immigration étrangère. Limitation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82.593 Numéro d'objet Numero dell'oggetto Datum 07.03.1983 - 15:30 Date Data Seite 256-260 Page Pagina Ref. No 20 011 275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