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82.570 vom 18. März 1983</w:t>
      </w:r>
    </w:p>
    <w:p>
      <w:r>
        <w:t>Bundesverwaltung, 1983-03-18, DE</w:t>
      </w:r>
    </w:p>
    <w:p>
      <w:r>
        <w:rPr>
          <w:b/>
        </w:rPr>
        <w:t xml:space="preserve">Quelle: </w:t>
      </w:r>
      <w:r>
        <w:t>https://mcp.opencaselaw.ch/entscheid/ch_vb_82.570</w:t>
      </w:r>
    </w:p>
    <w:p>
      <w:r>
        <w:t>FR: CH_VB 82.570 du 18 mars 1983</w:t>
      </w:r>
    </w:p>
    <w:p>
      <w:r>
        <w:t>IT: CH_VB 82.570 del 18 marzo 1983</w:t>
      </w:r>
    </w:p>
    <w:p>
      <w:pPr>
        <w:pStyle w:val="Heading2"/>
      </w:pPr>
      <w:r>
        <w:t>Erwägungen</w:t>
      </w:r>
    </w:p>
    <w:p>
      <w:r>
        <w:rPr>
          <w:b/>
        </w:rPr>
        <w:t>E. 18</w:t>
      </w:r>
    </w:p>
    <w:p>
      <w:r>
        <w:t>März 1983 N 535 Interpellation der unabhängigen und evang. Fraktion Längere Kündigungsfristen sieht das Obligationenrecht vor: Im ersten Dienstmonat kann das Arbeitsverhältnis jederzeit mit sieben Tagen Kündigungsfrist auf das Ende der Arbeits- woche gekündigt werden (Art. 334 OR). Hat das Arbeitsver- hältnis mehr als einen Monat und weniger als ein Jahr gedauert, so kann es auf das Ende des auf die Kündigung folgenden Monats gekündigt werden (Art. 336a OR). Im zweiten bis und mit dem neunten Dienstjahr kann das Arbeitsverhältnis mit einer Kündigungsfrist von zwei Mona- ten und nachher mit einer solchen von drei Monaten je auf das Ende eines Monats gekündigt werden (Art. 336b OR). Zwar sind die erwähnten Kündigungsfristen des Obligatio- nenrechts in der Regel dispositiver Natur, so dass sie ver- traglich - allerdings im Rahmen von Artikel 336b Absatz 2 - verkürzt werden können. Doch darf davon ausgegangen werden, dass gesetzliche Normen, welche dann anzuwen- den sind, wenn die Parteien keine abweichende Vereinba- rung getroffen haben, als besonders abgewogen und als die gerechtesten zu gelten haben. Es ist aber dann stos- send, wenn sich der Staat beim Abschluss eines Vertrages oder beim Erlass eines Réglementes Ansprüche ausbe- dingt, die ihm nach dispositivem Recht nicht zustehen. In diesem Sinne wären die im erwähnten Reglement für die Aufräumerinnen vorgesehenen Kündigungsfristen denjeni- gen des Obligationenrechts anzupassen. Schriftliche Stellungnahme des Bundesrates Rapport écrit du Conseil fédéral Die Kündigungsfristen des Aufräumerinnenreglementes sind kürzer als die dispositiven Fristen für den obligationen- rechtlichen Einzelarbeitsvertrag. Massgebend dürfte aber wohl der Rechtsschutz sein, der insgesamt den Aufräume- rinnen gewährt wird. Das Aufräumerinnenreglement ver- langt, jede Kündigung, selbst die ordentliche, sei zu begründen. Das eröffnet die Möglichkeit, jede Kündigung mit Beschwerde anzufechten. Ausserdem bringt es das Beschwerdeverfahren mit sich, dass bis zum wirklichen Ende des Dienstverhältnisses nicht selten reichlich Zeit ver- streicht. So gesehen bietet das Reglement also mehr als das Arbeitsvertragsrecht des Obligationenrechts. Zudem halten sich die vom Reglement gesetzten Fristen bei über- jährigen Verhältnissen an die Minimalfrist von einem Monat, die auch Artikel 336b Absatz 2 OR vorsieht. Bei unterjähri- gen Verhältnissen liegen die Fristen nach Reglement im Rahmen der Bandbreiten, welche in Artikel 334 bis 336a OR eröffnet werden. Es sei noch erwähnt, dass es das Wesen der dispositiven Fristen des OR ausmacht, in Sonderfällen von kürzeren Fristen abgelöst werden zu können. Das muss auch gelten, wenn der Staat der Arbeitgeber ist. Ein solcher Sonderfall liegt bei den Aufräumerinnen in der Bun- desverwaltung vor. Die getroffene Lösung entspricht den vorherrschenden Gepflogenheiten in Privatbetrieben. Das Dienstverhältnis der Aufräumerinnen bildet im übrigen immer wieder Gegenstand sozialpartnerschaftlicher Ver- handlungen mit den Personalverbänden. Dabei hat sich bis heute kein Anlass gezeigt, die geltenden Kündigungsfristen zu ändern. Präsident: Der Interpellant ist von der Antwort des Bundes- rates befriedigt. #ST# 82.908 Interpellation der unabhängigen und evangelischen Fraktion Bundesverwaltung. Personalausgaben Interpellation du groupe indépendant et évangélique Administration fédérale. Dépenses de personnel Wortlaut der Interpellation vom 1. Dezember 1982 Die Personalausgaben des Bundes sind seit 1975 von ins- gesamt 1 514 400 000 Franken (Staatsrechnung 1975) auf 2 161 700000 Franken (Budget 1983 ohne Teuerungszula- gen für 1983) angestiegen. Dem Voranschlag 1983 sind keine Zahlen über die Auswirkungen der Reallohnerhöhun- gen und die beförderungsbedingten Mehrkosten zu entneh- men. Unklar ist auch, aus welchen Gründen die Ausgaben für Ortszulagen seit Ì975 von 55 300 000 Franken auf 85 500 000 Franken (Budget 1983) angestiegen sind. Wir fragen den Bundesrat an: a. Wie beziffern sich die Ausgabensteigerungen 1975 bis 1983 im Detail: - für Reallohnerhöhungen - für Beförderungen innerhalb der Besoldungsklassen - für Beförderungen in höhere Besoldungsklassen? b. Welches sind die Gründe für die angesichts des Perso- nalstopps nicht leicht erklärbare starke Steigerung der Aus- gaben für Ortszulagen? c. Ist der Bundesrat bereit, inskünftig im Voranschlag auch die Ausgaben für Beförderungen und Reallohnerhöhungen separat aufzuführen? Texte de l'interpellation du 7er décembre 1982 Depuis 1975, les dépenses de personnel de la Confédéra- tion ont passé de 1 514 400 000 francs (compte d'Etat 1975) à 2 161 700 000 francs (budget 1983, allocations de renché- rissement pour 1983 non comprises). Dans le budget 1983, aucun chiffre n'est donné concernant les incidences de l'augmentation du salaire réel et les dépenses supplémen- taires dues aux promotions. Les raisons pour lesquelles les dépenses pour les indemnités de résidence ont passé de 55 300 000 francs en 1975 à 85 500 000 francs (budget 1983) ne ressortent pas clairement non plus du budget. Le Conseil fédéral est invité à répondre aux questions sui- vantes: a. A combien se montent, de 1975 à 1983, les augmenta- tions de dépenses pour chacun des postes suivants: - augmentations du salaire réel; - avancements au sein des classes de traitement; - promotion dans une classe de traitement supérieure? b. Quelles sont les raisons - qu'on s'explique difficilement étant donné le blocage des effectifs du personnel - pour lesquelles les dépenses qu'ont entraînées les indemnités de résidence ont fortement augmenté? c. Le Conseil fédéral est-il disposé, à l'avenir, à indiquer séparément, dans le budget, les dépenses dues aux pro- motions d'une part et aux augmentations du salaire réel d'autre part? Sprecher - Porte-parole: Aider Schriftliche Stellungnahme des Bundesrates Rapport écrit du Conseil fédéral Zu a. Die Sachgruppe 21 «Personalbezüge» hat von der Rechnung 1975 bis zum Voranschlag 1983 um 642,2 Millio- nen oder 42,4 Prozent zugenommen. Davon entfallen 434,7 Millionen (+ 28,7 Prozent) auf den Teuerungsausgleich. Weitere 53,9 Millionen gehen zu Lasten der allgemeinen Reallohnerhöhung auf den I.Januar 1982. Die Neubewilli-</w:t>
      </w:r>
    </w:p>
    <w:p>
      <w:r>
        <w:t>Schweizerisches Bundesarchiv, Digitale Amtsdruckschriften Archives fédérales suisses, Publications officielles numérisées Archivio federale svizzero, Pubblicazioni ufficiali digitali Interpellation Ziegler-Solothurn Kündigungsfrist für Aufräumerinnen in der Bundesverwaltung Interpellation Ziegler-Soleure Délai de congé pour les femmes de ménage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82.570 Numéro d'objet Numero dell'oggetto Datum 18.03.1983 - 08:00 Date Data Seite 534-535 Page Pagina Ref. No</w:t>
      </w:r>
    </w:p>
    <w:p>
      <w:r>
        <w:rPr>
          <w:b/>
        </w:rPr>
        <w:t>E. 20</w:t>
      </w:r>
    </w:p>
    <w:p>
      <w:r>
        <w:t>011 345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