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82.565 vom 17. Dezember 1982</w:t>
      </w:r>
    </w:p>
    <w:p>
      <w:r>
        <w:t>Bundesverwaltung, 1982-12-17, DE</w:t>
      </w:r>
    </w:p>
    <w:p>
      <w:r>
        <w:rPr>
          <w:b/>
        </w:rPr>
        <w:t xml:space="preserve">Quelle: </w:t>
      </w:r>
      <w:r>
        <w:t>https://mcp.opencaselaw.ch/entscheid/ch_vb_82.565</w:t>
      </w:r>
    </w:p>
    <w:p>
      <w:r>
        <w:t>FR: CH_VB 82.565 du 17 décembre 1982</w:t>
      </w:r>
    </w:p>
    <w:p>
      <w:r>
        <w:t>IT: CH_VB 82.565 del 17 dicembre 1982</w:t>
      </w:r>
    </w:p>
    <w:p>
      <w:pPr>
        <w:pStyle w:val="Heading2"/>
      </w:pPr>
      <w:r>
        <w:t>Erwägungen</w:t>
      </w:r>
    </w:p>
    <w:p>
      <w:r>
        <w:rPr>
          <w:b/>
        </w:rPr>
        <w:t>E. 17</w:t>
      </w:r>
    </w:p>
    <w:p>
      <w:r>
        <w:t>Dezember 1982 N 1813 Interpellation Schnyder-Bern compte de la décision du Parlement relative à la réduction des horaires de travail envisagée par le Conseil fédéral ainsi que de sa décision concernant le plafonnement des emplois, à la suite d'une initiative parlementaire de la Com- mission de gestion. 2. L'auteur de l'interpellation aimerait en outre savoir s'il est prévu d'adopter une réglementation plus libérale pour le rachat d'années d'assurance aux Caisses fédérales d'assu- rance et de pension, afin de faciliter l'engagement de per- sonnes moins jeunes dans les régies. Pour répondre à cette seconde question, il y a lieu de rap- peler que l'intéressé ne participe que pour moitié environ à la couverture du rachat, le reste étant pris en charge par la Confédération. Il serait en outre possible de ne pas payer le montant du rachat ou de n'en verser qu'une partie, ce qui se répercuterait bien entendu sur les rentes à verser ulté- rieurement. En règle générale ces rentes, bien que réduites, se situeraient néanmoins toujours dans les limites des prestations fixées par la loi fédérale instituant la pré- voyance professionnelle vieillesse, survivants et invalidité. Abandonner le système actuel de rachat alourdirait égale- ment les charges du ménage fédéral et n'aurait finalement qu'un effet assez limité. Pour les temps de crise, il convien- drait, en revanche, d'envisager des mesures appropriées, plus efficaces en matière d'emploi. Le Conseil fédéral ne considère donc pas qu'il faille modifier pour l'instant l'arti- cle 13 des statuts de la Caisse d'assurance. Präsident: Frau Christinat erklärt sich von der Antwort des Bundesrates teilweise befriedigt. #ST# 82.370 Interpellation Schnyder-Bern Wald- und Holzwirtschaft. Massnahmen Interpellation Schnyder-Berne Sylviculture et industrie du bois. Mesures Wortlaut der Interpellation vom 17. März 1982 Der seit Herbst 1981 ständig steigende Frankenkurs ist im Begriffe, über die positiven Wirkungen der Teuerungsbe- kämpfung hinauszuschiessen und durch eine zunehmende Exporterschwerung wichtige Infrastrukturen und zahlreiche Arbeitsplätze der Inlandwirtschaft insbesondere auch der Wald- und Holzwirtschaft zu gefährden und zu vernichten. Ist der Bundesrat nicht auch der Meinung, dass den auslän- dischen handelspolitischen Aktivitäten in der Wald- und Holzwirtschaft mit gezielten Exportförderungsmassnahmen bzw. Mengenbegrenzungen beim Import oder allenfalls Festlegung von Mindestpreisen zu begegnen sei? Texte de l'interpellation du 17 mars 1982 Le cours du franc suisse, qui n'a pas cessé d'augmenter depuis l'automne 1981, est en train d'avoir des effets qui dépassent le but visé, soit la lutte contre le renchérisse- ment; l'exportation devient de plus en plus difficile; des structures économiques importantes et de nombreuses places de travail de l'économie intérieure - en particulier de l'économie forestière et de l'économie du bois - sont menacées et risquent même de disparaître. Le Conseil fédéral n'est-il pas également de l'avis qu'il faut répondre à la politique commerciale pratiquée par l'étranger en prenant, en faveur de l'économie forestière et de l'éco- nomie du bois, des mesures spécifiques d'encouragement à l'exportation, en limitant quantitativement l'importation ou, le cas échéant, en fixant des prix minimums? Schriftliche Begründung - Développement par écrit Was im Bericht des Bundesrates für die Aussenwirtschaft aufgrund des erhöhten Frankenkurses und der zunehmen- den handelspolitischen Aktivitäten im Ausland festgehalten ist, trifft für die Wald- und Holzwirtschaft in einem weit här- teren Masse zu, als für die anderen Wirtschaftszweige. Allein infolge der Währungsentwicklung Schweizerfranken/ Lira ist das für die Pflege unserer Wälder zwingend ins Aus- land auszuführende Laubholz aus dem Jura und Nadelholz aus dem Berggebiet und Mittelland seit einem Jahr um mehr als 30 Prozent teurer geworden. Umgekehrt wird österreichisches und deutsches Schnittholz mit nahezu täglich tieferen DM- oder Schillingkursen laufend billiger eingeführt und verdrängt selbst beim öffentlichen Bau das Schweizerholz, Preisrückgänge von 10, 20 und mehr Pro- zent bei fortlaufend höheren Kosten und massiven Umsatz- und Mengeneinbussen - im Schweizerwald allein ein Nut- zungsrückgang von 20 bis 30 Prozent - sind nicht unge- wöhnlich. Spektakuläre Konkurse in der Branche mit ent- sprechenden Verlusten an Arbeitsplätzen und Verarbei- tungskapazitäten sind die Folge dieser Entwicklung. Die Lage der Wald- und Holzwirtschaft ist damit kritischer als in den Rezessionsjahren 1978/79. Alle bisherigen Anstrengun- gen, ähnlich wie 1978/79 mit direkten gezielten und befri- steten Massnahmen auf dem Gebiete der Währungssiche- rung, der Tarifpolitik mit den Bahnen und der Überwachung der Einfuhren, ein Abwehrdispositiv aufzubauen, blieben erfolglos. Aus den dargelegten Gründen ist der Zeitpunkt direkter, gezielter und rascher Aktionen im Rahmen der aussenwirt- schaftlichen Möglichkeiten für die Wald- und Holzwirtschaft zwingend. Dürfen wir noch darauf hinweisen, dass die Bun- desbehörden seinerzeit im Zusammenhang mit den Diskus- sionen um die EFTA- und EG-Verträge die exponierte Stel- lung der schweizerischen Wald- und Holzwirtschaft aner- kannt und entsprechende Zusicherungen abgegeben haben. Heute gilt es, sich daran zu erinnern, ansonsten nicht wieder gutzumachende Schäden in Kauf genommen werden müssen. Schriftliche Stellungnahme des Bundesrates Rapport écrit du Conseil fédéral Der Bundesrat hat soeben von einem Bericht über die aktu- ellen Probleme der schweizerischen Wald- und Holzwirt- schaft Kenntnis genommen und zur Orientierung der inter- essierten Kreise freigegeben. Dieser Bericht ist im Auftrag des Eidgenössischen Departementes des Innern durch eine aus Vertretern der Wald- und Holzwirtschaft sowie aus allen angesprochenen Verwaltungen und der Nationalbank gebil- dete ad-hoc-Arbeitsgruppe unter der Federführung des Bundesamtes für Forstwesen erarbeitet worden. Von die- sem Bericht ausgehend nimmt der Bundesrat zu den einzel- nen Fragen der Interpellation wie folgt Stellung: Der Bundesrat kann trotz allem Verständnis für die Belange der Wald- und Holzwirtschaft nicht von einem Sonderfall Holz ausgehen. Auch andere Wirtschaftszweige haben mit den wiederholten Währungsschwankungen, den konjunk- turellen Tiefs sowie mit den Folgen struktureller Schwächen (Verzettelung des Angebots, Sortimentsfragen usw.) zu kämpfen. In letzter Zeit haben sich übrigens einige die Wald- und Holzwirtschaft besonders belastende währungs- politische Faktoren wieder positiv verändert, namentlich das Verhältnis des Schweizerfrankens zur Lira. Die Möglichkeiten des Bundes, den Export von Holz und Holzwaren zu fördern, beschränken sich - abgesehen von Naturkatastrophen - auf die Exportrisikogarantie sowie auf die Hilfeleistungen, die der Dienst für Exportförderung des Bundesamtes für Aussenwirtschaft in Zusammenarbeit mit den diplomatischen Vertretungen der Schweiz zu bieten hat. Dagegen fehlen gesetzliche Grundlagen, die es erlau- ben würden, für Holzwirtschaft Subventionen auszurichten. Massnahmen dieser Art Hessen sich kaum auf den Holzsek- tor beschränken und stünden im Widerspruch zu der Ziel- richtung der schweizerischen Aussenwirtschaftspolitik. Es</w:t>
      </w:r>
    </w:p>
    <w:p>
      <w:r>
        <w:t>Schweizerisches Bundesarchiv, Digitale Amtsdruckschriften Archives fédérales suisses, Publications officielles numérisées Archivio federale svizzero, Pubblicazioni ufficiali digitali Interpellation Christinat Bundesbetriebe. Beschäftigung von Arbeitslosen Interpellation Christinat Régies fédérales. Engagement de chômeurs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82.565 Numéro d'objet Numero dell'oggetto Datum 17.12.1982 - 08:00 Date Data Seite 1811-1813 Page Pagina Ref. No</w:t>
      </w:r>
    </w:p>
    <w:p>
      <w:r>
        <w:rPr>
          <w:b/>
        </w:rPr>
        <w:t>E. 20</w:t>
      </w:r>
    </w:p>
    <w:p>
      <w:r>
        <w:t>011 070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