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82.437 vom 8. Oktober 1982</w:t>
      </w:r>
    </w:p>
    <w:p>
      <w:r>
        <w:t>Bundesverwaltung, 1982-10-08, DE</w:t>
      </w:r>
    </w:p>
    <w:p>
      <w:r>
        <w:rPr>
          <w:b/>
        </w:rPr>
        <w:t xml:space="preserve">Quelle: </w:t>
      </w:r>
      <w:r>
        <w:t>https://mcp.opencaselaw.ch/entscheid/ch_vb_82.437</w:t>
      </w:r>
    </w:p>
    <w:p>
      <w:r>
        <w:t>FR: CH_VB 82.437 du 8 octobre 1982</w:t>
      </w:r>
    </w:p>
    <w:p>
      <w:r>
        <w:t>IT: CH_VB 82.437 del 8 ottobre 1982</w:t>
      </w:r>
    </w:p>
    <w:p>
      <w:pPr>
        <w:pStyle w:val="Heading2"/>
      </w:pPr>
      <w:r>
        <w:t>Erwägungen</w:t>
      </w:r>
    </w:p>
    <w:p>
      <w:r>
        <w:rPr>
          <w:b/>
        </w:rPr>
        <w:t>E. 8</w:t>
      </w:r>
    </w:p>
    <w:p>
      <w:r>
        <w:t>octobre 1982 zu Lasten des «Radiobudgets» der PTT, das in der Folge defizitär ist. Würden diese Ausgaben als gemeinwirtschaftliche Leistun- gen deklariert - was bei der Aufgabenstellung von Schwei- zer Radio International durchaus gerechtfertigt erscheint -, dann könnten Investitionen und Betriebsaufwendungen für Schweizer Radio International besser in direktem Bezug zu den Bedürfnissen dieser Institution definiert werden. Es wäre somit Sache des Bundesrates, von Jahr zu Jahr den Beitrag an Schweizer Radio International festzulegen. Zudem wäre das Radiobudget der PTT wieder ausgegli- chen. Schriftliche Erklärung des Bundesrates Déclaration écrite du Conseil fédéral Der Bundesrat ist bereit, das Postulat entgegenzunehmen. Überwiesen - Transmis #ST# 82.396 Postulat Künzi Briefliche Stimmabgabe. Drucksachentarif Vote par correspondance. Tarif des imprimés Wortlaut des Postulats vom 9. Juni 1982 Der Bundesrat wird ersucht, durch eine Änderung der Ver- ordnung l zum Postverkehrsgesetz die Voraussetzungen zu schaffen, dass für die briefliche Stimmabgabe der Druck- sachentarif anwendbar wird. Texte du postulat du 9 juin 1982 Le Conseil fédéral est prié de modifier l'Ordonnance I rela- tive à la loi sur le Service des postes afin que le tarif des imprimés soit applicable à l'envoi des votes par correspon- dance. Mitunterzeichner - Cosignataires: Akeret, Biel, Bremi, de Capitani, Früh, Hösli, Kopp, Kunz, Ribi, Schule, Widmer (11) Schriftliche Begründung - Développement par écrit Verschiedene Kantone bemühen sich, durch besondere Massnahmen die Stimmbeteiligung bei Wahlen und Abstim- mungen zu verbessern. Eine gewiss nicht zu unterschätzende Vereinfachung in der Stimmabgabe besteht sicher darin, dass den Stimmbe- rechtigten die Möglichkeit der brieflichen Stimmabgabe geboten wird. Das Bundesgesetz über die politischen Rechte vom 17. Dezember 1976 schreibt dies in Artikel 8 denn auch vor. Das Verfahren ist aber oft noch viel zu kom- pliziert. Die Kantone arbeiten jedoch daran, diese Schran- ken möglichst abzubauen. Die Vereinfachungen würden sich bestimmt noch positiver auf die Stimmbeteiligung auswirken, wenn der Stimmbürger das Kuvert portofrei zurücksenden könnte. Um diese Kosten für das Gemeinwesen in tragbarem Rahmen zu hal- ten, wäre es jedoch nötig und sinnvoll, dass der Bundesrat dafür zumindest die Anwendung des Drucksachentarifs zugestehen würde. Der Bundesrat hat sich im Rahmen verschiedener Diskus- sionen, die sich mit der Bekämpfung der Stimmabstinenz befassten, positiv zur schriftlichen Stimmabgabe geäussert, konnte sich aber - wie er erklärte - wegen Einnahmenein- bussen der PTT noch nicht für den Drucksachentarif ent- schliessen. Offenbar haben aber die betreffenden Organe übersehen, dass es sich bei der geforderten Massnahme keineswegs um die Reduktion bestehender, sondern um die Eröffnung neuer Einnahmenquellen der PTT zu recht attraktiven Bedingungen handeln würde. Es darf davon ausgegangen werden, dass die Einführung des Drucksachentarifs für den Erfolg des Ausbaus der brieflichen Stimmabgabe von grosser Bedeutung wäre und damit zugleich ein tauglicher Beitrag für die Hebung der Stimmbeteiligung oder mindestens für die Verhinderung ihres weiteren Absinkens geleistet würde. Schriftliche Stellungnahme des Bundesrates Rapport écrit du Conseil fédéral Der Bundesrat steht Bestrebungen, die Stimmbeteiligung zu verbessern, positiv gegenüber. Daher befürwortet er auch den vom Regierungsrat des Kantons Zürich beab- sichtigten Ausbau der brieflichen Stimmabgabe. Für die von den Gemeinwesen beanspruchten Leistungen der Post werden die allgemein gültigen Tarife angewendet. Der Tarif richtet sich nach den Leistungen, welche die Post für die Beförderung und die Zustellung der entsprechenden Sendungen zu erbringen hat. Solche mit Stimm- und Wahl- zetteln sind den Briefen gleichzustellen. Eine Behandlung als Drucksache wäre auch wegen der längeren Beförde- rungsfristen, die oft für eine fristgerechte Übermittlung nicht ausreichen,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