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81.926 vom 19. März 1982</w:t>
      </w:r>
    </w:p>
    <w:p>
      <w:r>
        <w:t>Bundesverwaltung, 1982-03-19, DE</w:t>
      </w:r>
    </w:p>
    <w:p>
      <w:r>
        <w:rPr>
          <w:b/>
        </w:rPr>
        <w:t xml:space="preserve">Quelle: </w:t>
      </w:r>
      <w:r>
        <w:t>https://mcp.opencaselaw.ch/entscheid/ch_vb_81.926</w:t>
      </w:r>
    </w:p>
    <w:p>
      <w:r>
        <w:t>FR: CH_VB 81.926 du 19 mars 1982</w:t>
      </w:r>
    </w:p>
    <w:p>
      <w:r>
        <w:t>IT: CH_VB 81.926 del 19 marzo 1982</w:t>
      </w:r>
    </w:p>
    <w:p>
      <w:pPr>
        <w:pStyle w:val="Heading2"/>
      </w:pPr>
      <w:r>
        <w:t>Erwägungen</w:t>
      </w:r>
    </w:p>
    <w:p>
      <w:r>
        <w:rPr>
          <w:b/>
        </w:rPr>
        <w:t>E. 19</w:t>
      </w:r>
    </w:p>
    <w:p>
      <w:r>
        <w:t>mars 1982 sichtigt werden. Die Preiserhöhungen für Erdöl in den letz- ten Jahren haben die Konkurrenzfähigkeit dieser Technolo- gien gegenüber dem Erdöl verbessert. Angesichts der erheblichen Risiken in der Energieversor- gung hat der Bundesrat nach Auswertung der Vernehmlas- sung zum Schlussbericht der Kommission GEK zuhanden der eidgenössischen Räte am 25. März 1981 eine Botschaft über die Gestaltung unserer zukünftigen Energiepolitik ver- abschiedet. Darin schlägt er die Schaffung eines Energiear- tikels in der Bundesverfassung sowie die Ausschöpfung der bestehenden rechtlichen Möglichkeiten zur Reduktion unserer einseitigen Erdölabhängigkeit vor. Der Bund hat in den letzten Jahren die Zusammenarbeit mit den Kantonen erheblich aktiviert, und zwar auf Stufe Regierung, Energie- fachstellen und Ausschüsse. In diesem Zusammenhang werden die rationelle Energieverwendung und der Einsatz regenerierbarer, einheimischer Energien mitberücksichtigt. Lagerhaltung. Zur Überbrückung von Versorgungsengpäs- sen von beschränkter Dauer dient die Lagerhaltung und die Vorbereitung von Bewirtschaftungsmassnahmen. Bei dem für unsere Versorgung wichtigsten Energieträger, den flüs- sigen Brenn- und Treibstoffen, die gut 70 Prozent unseres Endenergiebedarfs decken, hat die Pflichtlagerhaltung bereits einen hohen Stand erreicht. Unter der theoretischen Annahme eines uneingeschränkten Verbrauchs würden die Vorräte für rund ein halbes Jahr reichen. Eine Dezentralisa- tion der Lagerstandorte wird durch Konsumentenpflichtla- ger angestrebt. Ferner wird nach Untertagspeichern für Erdöl und Erdgas gesucht. Die obligatorische Kohlepflicht- lagerhaltung ist am I.Januar 1982 in Kraft getreten. Die bedeutenden Holzvorkommen in unseren Wäldern erlauben bei Bedarf eine Erhöhung der Produktion. Allerdings sind unmittelbare Voraussetzungen dazu eine Förderung der Erschliessung der Wälder sowie eine genaue Kenntnis der Holzvorräte bereits in Friedenszeiten. Holz wird bei den Konsumenten (Waldbesitzer, Holzindustrie) dezentral gela- gert. Zurzeit werden Bewirtschaftungsmassnahmen für den Krisenfall ausgearbeitet. Nebst der Lagerhaltung sind als Gesamtpaket auch Kon- tingentierung und Rationierung sowie das Notstandsab- kommen im Rahmen der Länder der Internationalen Ener- gieagentur vorbereitet. Aufgrund des am 2. März 1980 von Volk und Ständen angenommenen Artikels 31 bis Absatz 3 Buchstabe e BV über die Landesversorgung ist es möglich, nicht nur im Kriegsfall, sondern auch für den Fall einer marktbedingten Versorgungsstörung Gegenmassnahmen zu treffen. Finanzielle Zuschüsse für Gesamtenergieanlagen zulasten der Kredite für militärische Landesverteidigung kommen nicht in Frage. Die Armee hat für ihre eigenen Bedürfnisse Vorkehren getroffen, um den Energiebedarf im Falle eines aktiven Dienstes zu decken. Die Sicherstellung der zivilen Versorgung ist Aufgabe der Kriegswirtschaft. In den Regierungsrichtlinien und im Finanzplan dieser Legislaturperiode ist die Subventionierung von Gesamt- energieanlagen nicht vorgesehen. In seiner Botschaft über Grundsatzfragen der Energiepolitik vom 25. März 1981 lehnt der Bundesrat Streusubventionen aus wirtschaftlichen, administrativen und finanzpolitischen Gründen ab. Der Bun- desrat will jedoch die Einführung neuer Energietechnolo- gien vor allem für die rationellere Energieverwendung und den vermehrten Einsatz regenerierbarer Energien ausser durch vermehrte Forschungsanstrengungen durch Beiträge an die Entwicklung, insbesondere an Pilot- und Demonstra- tionsanlagen, fördern. Er vertritt dabei den Standpunkt, dass sich diese Förderungsmassnahmen mittels der Unter- stellung der bisher befreiten Energieträger unter die Wust wesentlich rascher realisieren lassen, als dies bei der zeit- lich langwierigen Einführung einer zweckgebundenen Ener- giesteuer möglich wäre. Die weitere Verbreitung der Gesamtenergieanlagen wird heute noch durch rechtliche und technische Hindernisse begrenzt. Dazu gehören namentlich Probleme im Zusam- menhang mit der Abgabe von Überschusselektrizität aus solchen Anlagen an das öffentliche Netz und die Entschädi- gung der Elektrizitätswerke für die Aufrechterhaltung der Reserveleistung. Die Wirtschaftlichkeit der Anlagen und damit die Frage einer Subventionierung hängt stark von der Lösung dieser Probleme ab. Die Arbeitsgruppe Blockheizkraftwerke der kantonalen Energiefachstellen und der Bundesverwaltung hat die Pro- bleme des Einsatzes von Gesamtenergieanlagen abgeklärt. Der Schlussbericht dieser Arbeitsgruppe wird im Frühling 1982 erscheinen. Günter: Ich möchte nur erklären, dass ich vom Teil der Ant- wort betreffend Gesamtenergieanlagen - dem dritten Teil der Antwort - gar nicht befriedigt bin. #ST# 81.546 Interpellation Mascarin Uran aus Namibia - Uranium de Namibie Wortlaut der Interpellation vom 30. November 1981 Bereits 1974 erliess der Namibia-Rat der UNO ein Dekret, das den Export von Rohstoffen aus Namibia verbietet und mit Beschlagnahmung droht, solange Namibia von Süd- afrika besetzt gehalten wird (Dekret No 1 on thé Protection of Naturai Resources in Namibia). Insbesondere gehört die «Rössing Uranmine» von Namibia zu den grössten Uran- Vorkommen der Welt. Das UNO-Dekret hat den Zweck, die Ausbeutung der Rohstoffe Namibias durch die Besatzungs- macht selber oder durch von ihr protegierte multinationale Gesellschaften zu verhindern. Obwohl die Schweiz nicht Mitglied der Vereinten Nationen ist, wäre es in höchstem Grade bedenklich, wenn sie durch eigene Aktivitäten oder durch Duldung von Aktivitäten auf ihrem Territorium dazu beitragen würde, UNO-Beschlüsse zu hintergehen. Aus diesem Grunde lassen kürzliche Mel- dungen aufhorchen, denen zufolge aus Namibia stammen- des Uran auf Umwegen in schweizerische Atomkraftwerke gelange, wobei an erster Stelle das AKW Mühleberg genannt wird. In diesem Zusammenhang muss darauf hingewiesen wer- den, dass die Hauptaktionärin der namibischen Rössing- Mine, die «Rio Tinto Zinc» - ein Multi, der in lateinamerikani- schen Geschichtsbüchern als Inbegriff des «Blutsauger- Imperialismus» genannt wird - im Kanton Zug unter der Bezeichnung «RTZ Mineral Services Ltd» eine Niederlas- sung hat und offenbar alles andere als Mineralwasser han- delt. Es sei an die Publikationen der Zeitschrift «Teil» vom Oktober 1979 erinnert, denen zufolge über die RTZ Zug der illegale Uranhandel von der namibischen Rössing-Mine nach Japan abgewickelt werde. Wie seinerzeit gemeldet, wird die Zuger Briefkastenfirma RTZ vom bekannten Zür- cher Anwaltsbüro Pestalozzi und Gmür betreut. In diesem Zusammenhang ersuche ich den Bundesrat um die Beantwortung folgender Fragen: 1. Wo und in welcher Menge wird in der Schweiz aus Nami- bia stammendes Uran verwendet? Oder ist der Bundesrat in der Lage, eine verbindliche Erklärung abzugeben, dass in der Schweiz kein - auch nicht auf Umwegen in die Schweiz gelangtes - Uran aus Namibia verwendet wird, noch dessen Verwendung vorgesehen ist? 2. Ist der Bundesrat bereit, obschon die Schweiz nicht UNO-Mitglied ist, das genannte Dekret Nr. 1 des UNO- Namibia-Rates zu respektieren? 3. Sind dem Bundesrat die Aktivitäten der «RTZ Mineral Services Ldt» in Zug bekannt? Was haben diesbezügliche Untersuchungen ergeben? Ist der Bundesrat bereit, mit geeigneten Massnahmen dafür zu sorgen, dass die</w:t>
      </w:r>
    </w:p>
    <w:p>
      <w:r>
        <w:t>Schweizerisches Bundesarchiv, Digitale Amtsdruckschriften Archives fédérales suisses, Publications officielles numérisées Archivio federale svizzero, Pubblicazioni ufficiali digitali Interpellation Günter Energieversorgung in Kriegszeiten Interpellation Günter Approvisionnement énergétique en temps de guerre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81.926 Numéro d'objet Numero dell'oggetto Datum 19.03.1982 - 08:00 Date Data Seite 555-556 Page Pagina Ref. No</w:t>
      </w:r>
    </w:p>
    <w:p>
      <w:r>
        <w:rPr>
          <w:b/>
        </w:rPr>
        <w:t>E. 20</w:t>
      </w:r>
    </w:p>
    <w:p>
      <w:r>
        <w:t>010 375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