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81.907 vom 18. März 1983</w:t>
      </w:r>
    </w:p>
    <w:p>
      <w:r>
        <w:t>Bundesverwaltung, 1983-03-18, DE</w:t>
      </w:r>
    </w:p>
    <w:p>
      <w:r>
        <w:rPr>
          <w:b/>
        </w:rPr>
        <w:t xml:space="preserve">Quelle: </w:t>
      </w:r>
      <w:r>
        <w:t>https://mcp.opencaselaw.ch/entscheid/ch_vb_81.907</w:t>
      </w:r>
    </w:p>
    <w:p>
      <w:r>
        <w:t>FR: CH_VB 81.907 du 18 mars 1983</w:t>
      </w:r>
    </w:p>
    <w:p>
      <w:r>
        <w:t>IT: CH_VB 81.907 del 18 marzo 1983</w:t>
      </w:r>
    </w:p>
    <w:p>
      <w:pPr>
        <w:pStyle w:val="Heading2"/>
      </w:pPr>
      <w:r>
        <w:t>Erwägungen</w:t>
      </w:r>
    </w:p>
    <w:p>
      <w:r>
        <w:rPr>
          <w:b/>
        </w:rPr>
        <w:t>E. 18</w:t>
      </w:r>
    </w:p>
    <w:p>
      <w:r>
        <w:t>März 1983 553 Interpellation Dirren c'est-à-dire au stade des projets dans le cas des construc- tions, le montant des dépenses ne peut cependant être fixé qu'approximativement et non pas en détail, si tant est que la flexibilité souhaitée dans l'exécution des projets de construction doit être respectée. Le compte final seulement peut indiquer, de manière obligatoire et précise, les dépenses faites par le maître de l'ouvrage cantonal et justi- fiant une subvention. Aussi des différences finissent tou- jours par surgir dans la pratique, entre la subvention allouée en fonction des principes établis et le montant payé en défi- nitive. Dans le cadre du droit en vigueur, nous nous atta- cherons donc particulièrement, en recourant à la CUS, à limiter autant que faire se peut les réductions majeures des subventions lors de l'examen du compte final, et ce en aménageant la procédure d'octroi en conséquence. La pos- sibilité de voir surgir ce genre de différences ne pourrait cependant être éliminée complètement que moyennant modification du système de subventionnement (p. ex. en appliquant un taux forfaitaire de la prestation fédérale, par place d'étude notamment). Nous sommes prêts à examiner une révision de la LAU dans ce sens. 8. Il est évident que les cantons et la Confédération doivent répartir entre eux, dans un esprit de solidarité et de confiance, les charges universitaires considérables aux- quelles il s'agit de faire face dans l'intérêt du pays et en par- ticulier de nos jeunes. La responsabilité que nous assu- mons de gérer aussi rationnellement et économiquement que possible les fonds publics limités à disposition nous oblige cependant à en contrôler l'usage soigneusement. Il n'est guère nécessaire de souligner que la Confédération ne saurait subventionner des dépenses contraires à l'objet des subventions et aux principes d'économie budgétaire. Nous espérons que dans ce domaine, la collaboration avec les bénéficiaires cantonaux de subventions, dont les inté- rêts recouvrent sur le fond les nôtres, évoluera de manière positive, notamment pour éviter les débordements bureau- cratiques. Abstimmung - Vote Für den Antrag auf Diskussion offensichtliche Mehrheit #ST# 82.953 Interpellation Dirren Klärschlamm und Kehrichtschlacken. Wiederverwendung Boues d'épuration et déchets solides. Réutilisation. Wortlaut der Interpellation vom 17. Dezember 1982 Die täglich zunehmenden Quantitäten von nichtverwendba- ren Abfallstoffen aus Verbrennungs- und Kläranlagen beschäftigen unser Umweltschutzdenken. Das Umweltbe- wusstsein allein genügt jedoch nicht, sondern es müssen auch die technischen Voraussetzungen für die Wiederver- wendung geprüft und geschaffen werden. Durch die Klärschlammverordnung ist die Deponie dieser Abfälle sehr stark eingeschränkt. Der Bundesrat wird ersucht, nachfolgende Punkte zu prüfen und Bericht zu erstatten: 1. Eine umfassende Information oder einen Kurzbericht, der das Verhalten dieser Abfallmaterialien, die Besonderheit bei der Verwendung, zum Beispiel im Strassenbau oder andere Möglichkeiten zur Wiederverwendung von Klär- schlamm und Kehrichtschlacken, aufzeigt. 2. Eine Zusammenarbeit zwischen den Trägern der Ver- brennungs- und möglichen Aufbereitungsanlagen, der For- schung und den zuständigen Bundesämtern anzuordnen. 3. Entsprechende einfache Normen zu schaffen, die zu einer Wiederverwendung animieren und allenfalls durch die öffentliche Hand finanziell unterstützt werden können. 4. Eventuell die notwendigen Forschungsaufträge zu ertei- len. Texte de l'interpellation du 17 décembre 1982 Les quantités toujours croissantes de déchets non utilisa- bles provenant des usines d'incinération et des stations d'épuration nous préoccupent quant à leurs effets sur la protection de l'environnement. Cependant, il ne suffit pas d'être conscient des problèmes de l'environnement; il faut examiner et créer le conditions techniques nécessaires à la réutilisation des déchets. La possibilité de déposer ces déchets dans des décharges a été très fortement restreinte par l'ordonnance sur les boues d'épuration. Le Conseil fédéral est prié d'examiner les questions suivantes et de faire rapport sur celles-ci, à savoir 1. De rédiger un exposé circonstancié ou un bref compte rendu montrant le comportement de ces déchets, les parti- cularités que présente leur emploi, par exemple dans la construction de routes, ou d'autres possibilités de réutiliser les boues d'épuration et les déchets solides. 2. D'ordonner que s'établisse une collaboration entre les organismes responsables des usines d'incinération et autres moyens de traitement des déchets, les instituts de recherche et les offices fédéraux compétents. 3. De créer à ce sujet des normes simples qui incitent à la réutilisation et qui permettent aux pouvoirs publics d'accor- der le cas échéant une aide financière. 4. De confier éventuellement des mandats de recherche, lorsque cela se révèle nécessaire. Schriftliche Begründung - Développement par écrit Der Urheber verzichtet auf eine Begründung und wünscht eine schriftliche Stellungnahme. Schriftliche Stellungnahme des Bundesrates Rapport écrit du Conseil fédéral Die Verwertung des Klärschlammes ist durch die Klär- schlammverordnung vom 8. April 1981 geregelt. Unter den Entsorgungsmöglichkeiten hat die landwirtschaftliche Ver- wertung Vorrang. Grundlage der Verordnung waren umfas- sende wissenschaftliche Untersuchungen und technische Kenntnisse über die Hygienisierung, Schadstoffbegren- zung, Düngerwirkung und praktische Anwendung des Klär- schlammes. Die wissenschaftlichen Abklärungen liefen und finden ihren Fortgang im Rahmen des internationalen COST-Programmes 68 (Coopération européenne dans le domaine de la recherche scientifique et technique), des Nationalfonds und gezielter Forschungsprojekte, die vom Bundesamt für Umweltschutz vergeben werden. Fachlitera- tur und Übersichtswerke über die Klärschlammverwertung liegen vor. Die Eidgenössische Technische Hochschule Zürich, der Kanton Zürich und das Bundesamt für Umweltschutz klär- ten zwischen 1970 und 1975 wissenschaftlich und in gross- technischen Versuchen ab, ob Kehrichtschlacke sich als Einbaumaterial für den Strassenbau eignet. Die Ergebnisse zeigten, dass dies der Fall ist. Seit 1975 bestehen erste Richtlinien der Vereinigung Schweizerischer Strassenfach- leute (VSS) über die Verwendung von aufbereiteter Keh- richtschlacke. Das Bundesamt für Strassenbau und der VSS arbeiten zurzeit an einer Verfeinerung dieser Richtli- nien, insbesondere im Bereich der Einbautechnik. In ver- schiedenen Kantonen, wie zum Beispiel in Zürich, St. Gal- len, Thurgau, Graubünden und Genf wird die aufbereitete Kehrichtschlacke im Strassenbau teilweise bereits einge- setzt. Die Verwertung von Kehrichtschlacke erfolgt noch in zu geringem Ausmass. Der Entscheid, ob Kehrichtschlacke für den Strassenbau aufbereitet werden soll, liegt bei den regionalen und kantonalen Behörden bzw. bei den Körper-</w:t>
      </w:r>
    </w:p>
    <w:p>
      <w:r>
        <w:t>Schweizerisches Bundesarchiv, Digitale Amtsdruckschriften Archives fédérales suisses, Publications officielles numérisées Archivio federale svizzero, Pubblicazioni ufficiali digitali Interpellation Junod Verhältnis Kantone/Bund. Bundesbeiträge an Universitäten Interpellation Junod Rapports cantons/Confédération. Subventions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81.907 Numéro d'objet Numero dell'oggetto Datum 18.03.1983 - 08:00 Date Data Seite 550-553 Page Pagina Ref. No</w:t>
      </w:r>
    </w:p>
    <w:p>
      <w:r>
        <w:rPr>
          <w:b/>
        </w:rPr>
        <w:t>E. 20</w:t>
      </w:r>
    </w:p>
    <w:p>
      <w:r>
        <w:t>011 362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