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81.903 vom 19. März 1982</w:t>
      </w:r>
    </w:p>
    <w:p>
      <w:r>
        <w:t>Bundesverwaltung, 1982-03-19, DE</w:t>
      </w:r>
    </w:p>
    <w:p>
      <w:r>
        <w:rPr>
          <w:b/>
        </w:rPr>
        <w:t xml:space="preserve">Quelle: </w:t>
      </w:r>
      <w:r>
        <w:t>https://mcp.opencaselaw.ch/entscheid/ch_vb_81.903</w:t>
      </w:r>
    </w:p>
    <w:p>
      <w:r>
        <w:t>FR: CH_VB 81.903 du 19 mars 1982</w:t>
      </w:r>
    </w:p>
    <w:p>
      <w:r>
        <w:t>IT: CH_VB 81.903 del 19 marzo 1982</w:t>
      </w:r>
    </w:p>
    <w:p>
      <w:pPr>
        <w:pStyle w:val="Heading2"/>
      </w:pPr>
      <w:r>
        <w:t>Erwägungen</w:t>
      </w:r>
    </w:p>
    <w:p>
      <w:r>
        <w:rPr>
          <w:b/>
        </w:rPr>
        <w:t>E. 19</w:t>
      </w:r>
    </w:p>
    <w:p>
      <w:r>
        <w:t>März 1982 525 Motion Müller-Aargau dans le rapport final qu'il soumettra prochainement. Selon les conclusions auxquelles il parviendra, le problème d'un régime général d'allocations familiales sur le plan fédéral devra faire l'objet d'un examen approfondi, en tenant compte notamment des aspects qui relèvent de la réparti- tion des tâches entre la Confédération et les cantons. Schriftliche Erklärung des Bunderates Déclaration écrite du Conseil fédéral Le Conseil fédéral propose de transformer la motion en postulat. Überwiesen als Postulat - Transmis comme postulat #ST# 81.481 Motion Müller-Aargau Gemeindeparlamentarier. Immunität Motion Müller-Argovie Parlementaires communaux. Immunité Wortlaut der Motion vom 29. September 1981 Der Bundesrat wird beauftragt, Artikel 366 StGB in dem Sinne zu ändern, dass die Kantone berechtigt werden, sowohl für kantonale als auch für kommunale Parlamente die strafrechtliche Verantwortlichkeit der Mitglieder wegen Äusserungen in den Verhandlungen aufzuheben oder zu beschränken. Texte de la motion du 29 septembre 1981 Le Conseil fédéral est chargé de modifier l'article 366 du Code pénal suisse, de manière à autoriser les cantons à supprimer ou à restreindre, aussi bien pour les Parlements communaux que cantonaux, la responsabilité pénale des membres de ces autorités à raison des opinions manifes- tées au cours des débats parlementaires. Mitunterzeichner-Cosignataires: Biel, Günter, Jaeger, Klo- ter, Oester, Schalcher, Schär, Widmer, Zwygart (9) Schriftliche Begründung - Développement par écrit In einer Agglomerationsgemeinde Luzerns wurde wegen einer unbequemen Interpellation ein Mitglied des Einwoh- nerrates strafrechtlich zur Verantwortung gezogen. Das Amtsgericht Luzern-Land sprach ihn schuldig, das Oberge- richt des Kantons Luzern gab Freispruch. Nun ist der Fall vor Bundesgericht. Wie immer auch dort entschieden wird, ist die Situation beschämend für einen demokratischen Staat. Dieser Fall zeigt, dass die parlamentarische Tätigkeit eines Mitgliedes der Legislativen in einer Gemeinde durch die feh- lende Möglichkeit der freien Meinungsäusserung anlässlich von Ratssitzungen entscheidend eingeschränkt ist, denn dem Ratsmitglied kann jederzeit der Prozess gemacht wer- den. In einer Motion wurde der Luzerner Regierungsrat gebeten, Paragraph 3 des Gesetzes über die Strafprozessordnung folgendermassen zu ändern: «Mitglieder des Grossen Rates und der Gemeindeparla- mente können wegen Äusserungen an den Verhandlungen des Rates und seiner Kommission strafrechtlich nicht zur Verantwortung gezogen werden.» Nach der Meinung des Regierungsrates von Luzern ist aber eine Änderung der kantonalen Strafprozessordnung nur möglich, wenn Artikel 366 StGB entsprechend geändert ist und damit den Kantonen diese Kompetenz erteilt wird. Schriftliche Stellungnahme des Bundesrates Rapport écrit du Conseil fédéral Artikel 366 Absatz 2 Buchstabe a des Schweizerischen Strafgesetzbuches (StGB) berechtigt die Kantone, Vor- schriften zu erlassen, wonach die strafrechtliche Verant- wortlichkeit der Mitglieder ihrer gesetzgebenden Behörden (Kantonsräte, Grosse Räte, Landsgemeinden) wegen Äus- serungen in den Verhandlungen dieser Behörden aufgeho- ben oder beschränkt wird. Diese Bestimmung beruht auf dem Gedanken, den Kanto- nen keine Regelung der parlamentarischen Immunität auf kantonaler Ebene aufdrängen zu wollen. Eine derartige Regelung soll eine Angelegenheit des kantonalen Staats- rechts bleiben. Eine parlamentarische Immunität auch für Mitglieder von Gemeindeparlamenten oder für Teilnehmer an Gemeinde- versammlungen stand vor Inkrafttreten des StGB nicht zur Diskussion. Auch in der Folge hat kein Kanton je verlangt, er sei in Artikel 366 StGB zu ermächtigen, die parlamentari- sche Immunität auf kommunaler Ebene einzuführen. Ein entsprechendes Bedürfnis lässt sich daher mangels eines in dieser Frage entscheidenden kantonalen Interesses nicht annehmen. Der Bundesrat lehnt die Motion schon aus die- sem Grunde ab. Schriftliche Erklärung des Bundesrates Déclaration écrite du Conseil fédéral Der Bundesrat empfiehlt, die Motion abzulehnen. Müller-Aargau: Es ist eher ungewöhnlich und selten, dass ein Motionär mit der Ablehnung eines Vorstosses einver- standen ist und dem Bundesrat für die Begründung sogar dankt. Daher scheint es mir richtig, dass ich dazu einiges ausführe. Eine erste Bemerkung: Wenn ich die Stellungnahme des Bundesrates sorgfältig lese und interpretiere - und sie braucht etwas Interpretation -, so wird darin festgehalten, dass Artikel 366 Absatz 2 Buchstabe a des Schweizeri- schen Strafgesetzbuches die Kantone nicht daran hindern kann, für Gemeindeparlamentarier die Immunität vorzuse- hen. Konkret wird ausgeführt: Es ist Sache des kantonalen Staatsrechtes, die Frage der Immunität zu regeln. Der Bun- desrat stellt sich damit gegen die Meinung der Luzerner Regierung, die einen entsprechenden Vorstoss abgewim- melt hatte mit dem Hinweis auf Artikel 366 Strafgesetzbuch, der eine Immunität für Gemeindeparlamentarier verunmögli- che. Ein früherer Luzerner Regierungsrat hat noch kurz vor der Einreichung meines Vorstosses mir gegenüber festge- halten, dass er ein Gemeindeparlament als eine verwaltungstechnische Institution betrachte, die nicht den Charakter einer Legislativen habe. Wir stellen heute mit Freude und Befriedigung fest, dass der Bundesrat nicht dieser Meinung ist. Der Motionär und die Unterzeichner sind es auch nicht, und ich danke dem Bundesrat für die Klarstellung. Eine zweite Bemerkung: Gar nicht einverstanden bin ich mit der Aussage des Bundesrates, ein entsprechendes Bedürf- nis könne nicht nachgewiesen werden. Wenn bis heute in dieser Sache kaum Vorstösse zu verzeichnen waren, so beruhte dies auf der ungeschriebenen Gepflogenheit, Gemeindeparlamentarier bei ihrer Hauptaufgabe, der Über- wachung der Gemeindeverwaltung, nicht zu behindern. Es wäre kaum jemandem in den Sinn gekommen, einen Ein- wohnerrat wegen einer kritischen Äusserung vor den Kadi zu ziehen. So war es, aber so ist es nicht mehr. Es gab bis anhin so etwas wie politische Fairness. Aber nachdem eine kritische Bemerkung eines Einwohnerrates bis ans Bundes- gericht weitergezogen wurde, ist es manchem engagierten Politiker auf Gemeindeebene ungemütlich geworden. Zwar hat das Bundesgericht die Haltung des Gemeindeparlamen- tariers als «im öffentlichen Interesse liegend» geschützt und auch sein weiteres Vorgehen in dieser Sache, sein hartnäk- kiges Vorgehen, nicht als «Uneinsichtigkeit» aufgefasst, sondern als politisches Engagement gelobt und damit indi- 67-N</w:t>
      </w:r>
    </w:p>
    <w:p>
      <w:r>
        <w:t>Schweizerisches Bundesarchiv, Digitale Amtsdruckschriften Archives fédérales suisses, Publications officielles numérisées Archivio federale svizzero, Pubblicazioni ufficiali digitali Motion Roy Familienzulagen. Allgemeine Einführung Motion Roy Allocations familiales. Généralisation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81.903 Numéro d'objet Numero dell'oggetto Datum 19.03.1982 - 08:00 Date Data Seite 523-525 Page Pagina Ref. No</w:t>
      </w:r>
    </w:p>
    <w:p>
      <w:r>
        <w:rPr>
          <w:b/>
        </w:rPr>
        <w:t>E. 20</w:t>
      </w:r>
    </w:p>
    <w:p>
      <w:r>
        <w:t>010 342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