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81.360 vom 7. Oktober 1982</w:t>
      </w:r>
    </w:p>
    <w:p>
      <w:r>
        <w:t>Bundesverwaltung, 1982-10-07, DE</w:t>
      </w:r>
    </w:p>
    <w:p>
      <w:r>
        <w:rPr>
          <w:b/>
        </w:rPr>
        <w:t xml:space="preserve">Quelle: </w:t>
      </w:r>
      <w:r>
        <w:t>https://mcp.opencaselaw.ch/entscheid/ch_vb_81.360</w:t>
      </w:r>
    </w:p>
    <w:p>
      <w:r>
        <w:t>FR: CH_VB 81.360 du 7 octobre 1982</w:t>
      </w:r>
    </w:p>
    <w:p>
      <w:r>
        <w:t>IT: CH_VB 81.360 del 7 ottobre 1982</w:t>
      </w:r>
    </w:p>
    <w:p>
      <w:pPr>
        <w:pStyle w:val="Heading2"/>
      </w:pPr>
      <w:r>
        <w:t>Erwägungen</w:t>
      </w:r>
    </w:p>
    <w:p>
      <w:r>
        <w:rPr>
          <w:b/>
        </w:rPr>
        <w:t>E. 7</w:t>
      </w:r>
    </w:p>
    <w:p>
      <w:r>
        <w:t>Oktober 1982 1405 Interpellation Landoli gerecht wird. Diese Situation ist gleichbedeutend mit einer möglichen Gefährdung der Volksgesundheit. Daraus leite ich die Pflicht des Bundes zu einer entsprechenden Inter- vention ab. Hinsichtlich Radio und Fernsehen verbietet der Bund bekanntlich jede Reklame für Heilmittel. Dieses Verbot basiert auf denselben Überlegungen, die mich zu meiner Interpellation bewogen haben, d. h. Reklame bezweckt Ver- kaufsförderung und ist insbesondere bei Schmerzmitteln problematisch, ja geradezu gefährlich. Diese Auffassung wird im neuesten Bericht der schweizeri- schen Kartellkommission über die Arzneimittelversorgung vom Juni 1981 unterstrichen, indem dort ausgeführt wird: «Das Werbeverbot für Arzneimittel ist vollumfänglich gerechtfertigt, sofern man der Auffassung ist, dass Arznei- mittel besondere Güter darstellen, deren Überkonsum nicht gefördert werden darf. Ziel der Werbung ist nämlich Ver- kaufsförderung. Diese aber läuft der Mässigung zuwider, die man bei den Arzneimitteln zu erreichen wünscht.» Wenn beispielsweise die Schweizerische Gesellschaft für Chemische Industrie in einer Stellungnahme zum geforder- ten Reklameverbot ausführt, dass durch diese Massnahme etliche Firmen hart betroffen werden, steht fest, dass allei- niges Ziel der Reklame Umsatzförderung ist. Ich fordere hingegen, dass in dieser Angelegenheit das Volkswohl vor den Eigennutz von Firmen zu stellen ist. Das erwähnte Gentlemen's agreement wird sozusagen täg- lich missachtet. Selbst eine der ganz grossen Basler Phar- mafabriken hat noch vor kurzem in der grössten schweizeri- schen Zeitschrift ihr Schmerzmittel grossräumig inseriert. Ich habe hier zwei Beispiele für Kopfwehdragées und für Schmerztabletten, die in einer heutigen Tageszeitung erschienen und dort nachzulesen sind. Dieses Gentlemen's agreement wird darum missachtet, weil nur wenige und nicht alle Firmen an diesem Agreement beteiligt sind. Meine entscheidende Frage, ob die Zulassung der Reklame nicht der Absicht, den Schmerzmittelkonsum einzuschrän- ken, zuwiderläuft, ist ungenügend beantwortet. Mit grossem Bedauern stelle ich fest, dass die Spezialisten des Bundesamtes für Gesundheitswesen auf die Frage der Gefährlichkeit des Paracetamols nicht eintreten. Im Gegen- satz zum neuerdings unter Rezeptpflicht gestellten Phena- cetin weist Paracetamol eine akute Toxitität auf, d h. bei einer Überdosierung ist es wesentlich gefährlicher als Phe- nacetin. Das wird durch die in meiner Interpellation zitierte hohe Zahl von Paracetamolvergiftungen in England nach- drücklich unterstrichen. Ich vermute, dass der Bundesrat von den Fachinstanzen der IKS unzureichend informiert worden ist. Die IKS bestimmt in ihren eigenen Richtlinien, dass nur Heil- mittel ausserhalb von Apotheken zugelassen werden dür- fen, die keiner pharmazeutischen Beratung bedürfen, deren Arzneistoffe und deren Kombinationen sich über einen grossen Zeitraum und bei einer Vielzahl von Verbrauchern als unbedenklich erwiesen haben, und schliesslich müssen die Toxikologie und die Folgen bei missbräuchlicher Ver- wendung berücksichtigt werden. Die Forderungen sind bei vielen Schmerzmitteln, insbeson- dere aber beim Paracetamol, nicht erfüllt. Ich stelle fest, dass die IKS mit den Verkaufsabgrenzungslisten ihren eige- nen Richtlinien zuwiderhandelt.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