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81.307 vom 10. Juni 1982</w:t>
      </w:r>
    </w:p>
    <w:p>
      <w:r>
        <w:t>Bundesverwaltung, 1982-06-10, DE</w:t>
      </w:r>
    </w:p>
    <w:p>
      <w:r>
        <w:rPr>
          <w:b/>
        </w:rPr>
        <w:t xml:space="preserve">Quelle: </w:t>
      </w:r>
      <w:r>
        <w:t>https://mcp.opencaselaw.ch/entscheid/ch_vb_81.307</w:t>
      </w:r>
    </w:p>
    <w:p>
      <w:r>
        <w:t>FR: CH_VB 81.307 du 10 juin 1982</w:t>
      </w:r>
    </w:p>
    <w:p>
      <w:r>
        <w:t>IT: CH_VB 81.307 del 10 giugno 1982</w:t>
      </w:r>
    </w:p>
    <w:p>
      <w:pPr>
        <w:pStyle w:val="Heading2"/>
      </w:pPr>
      <w:r>
        <w:t>Erwägungen</w:t>
      </w:r>
    </w:p>
    <w:p>
      <w:r>
        <w:rPr>
          <w:b/>
        </w:rPr>
        <w:t>E. 10</w:t>
      </w:r>
    </w:p>
    <w:p>
      <w:r>
        <w:t>juin 1982 tementes rund 1,7 Millionen immatrikulierte Fahrzeuge. Heute haben wir über 1 Million mehr; es geht um die Grös- senordnung von 2,9 Millionen. Dazu kommen die rund 50 Millionen ausländischen Fahrzeuge, die per anno unsere Strassen benützen: als Touristenfahrzeuge meist zu unse- rer Freude; aber gelegentlich auch zum Ärger, wenn es sich um grosse Lastwagen handelt, die bloss durchfahren. Das hat natürlich mit den von Herrn Graf erfragten Problemen manches zu tun. Wir sind überzeugt, dass wir mit einer wei- teren Erstreckung der Übergangsfrist (über den 31 „ März 1983 hinaus) nichts gewonnen hätten. Die vorhin im Zusammenhang mit der Interpellation von Frau Kopp angestellten Überlegungen (enge Zusammenar- beit mit der Industrie, enge Zusammenarbeit auch mit den umweltschutzinteressierten Organisationen, mit der For- schung) müssen uns weiterführen zu einer besseren Abgassituation, aber auch zu einer hinsichtlich Benzinver- brauch sparsameren Lösung. Ich darf Ihnen sagen, dass unsere Entscheide bei anderen Regierungen in Europa, unter anderem in Deutschland, auf grosses Interesse stos- sen. Auch die Nachbarrepublik möchte rasch günstige, neue Normen entwickeln. Auch im ECE-Reglementsraum (also alle Partnerstaaten betreffend) hat die während einer bestimmten Zeit eher frostige Atmosphäre bereits wieder einer sehr guten partnerschaftlichen Zusammenarbeit Platz gemacht. Und ein allerletztes: Es ist durchaus möglich, dass einzelne Automodelle für eine bestimmte Zeit nicht importiert wer- den können, weil sie unserer Vorschrift nicht entsprechen. Angesichts der ausgesprochen grossen Anzahl von Fahr- zeugen, die in unserem Land zur Verfügung stehen, würde ich dies nicht als Landesunglück werten. Ich habe heute in der Zeitung etwa gelesen, dass vom Mercedes 500 und von anderen wertvollen Fahrzeugen (ohne Zweifel!) gesprochen wird, die während einer bestimmten Zeit Schwierigkeiten mit unserer neuen Rechtsordnung haben könnten. Ich glaube aber, dass die Hersteller dieser Spitzenprodukte eine derart gute eigene Forschung haben, dass es ihnen nicht besonders schwer fallen wird, den von ihnen sehr geschätzten Schweizer Markt bald wieder mit ihren Produk- ten zu bedienen. Fazit: Auch wenn wir die Übergangsfrist nicht erneut erstrecken (wir haben sie bereits einmal bis Ende März 1983 erstreckt, wie Sie wissen), so hoffen wir dennoch in enger, echter Zusammenarbeit mit den technisch fachkun- digen Kreisen diese Probleme - die nicht Tagesprobleme, sondern Dauerprobleme der modernen Industriegesell- schaft sind - einer sinnvollen Lösung entgegenzuführen. Soviel noch zu Ihrer ergänzenden Frage. Ich glaube, dass ich damit auch die Problemkreise von Frau Kopp, soweit ich sie jetzt in Ergänzung zu unserem schriftlichen Text zu beurteilen vermag, dargestellt habe. Präsidentin: Frau Kopp erklärt sich von der Antwort des Herrn Bundesrat befriedigt. #ST# 81.404 Motion Kopp Strassenverkehrsgesetz. Ergänzung Loi sur la circulation routière. Complément 81.420 Motion Neukomm Typenprüfung. Deklaration der Ergebnisse Expertise des types de véhicules. Déclaration Wortlaut der Motion Kopp vom 10. Juni 1981 Der Bundesrat wird beauftragt, das Gesetz über den Stras- senverkehr wie folgt zu ergänzen: Art. 12 Abs. 4 Bund und Kantone geben die an der Typenprüfung festge- stellten Lärm- und Abgaswerte sowie den Treibstoffver- brauch der Motorfahrzeuge auf Anfrage hin bekannt. Der Bund veröffentlicht diese Werte periodisch. Texte de la motion Kopp du 10 juin 1981 Le Conseil fédéral est chargé de compléter la loi sur la cir- culation routière comme il suit: Art. 12 al. 4 Sur demande, la Confédération et les cantons donnent con- naissance des résultats des mesures du bruit, des gaz d'échappement et de la consommation de carburant faites lors de l'homologation des véhicules automobiles. La Con- fédération publie ces résultats périodiquement. Mitunterzeichner - Cosignataires: Auer, de Capitani, Eng, Frey-Neuenburg, Friedrich, Früh, Füeg, Hunziker, Lüchin- ger, Meier Kaspar, Petitpierre, Ribi, Schule, Spreng, Stein- egger, Wyss (16) Schriftliche Begründung - Développement par écrit Das Bundesamt für Polizeiwesen hat im April erstmals die Emissionswerte von Motorfahrzeugen bezüglich Lärm und Absage veröffentlicht. Zur Beurteilung der «Umweltfreund- lichkeit» eines Fahrzeugs gehören auch Angaben über den Treibstoffverbrauch. Der vom Bundesrat vorgeschlagene Energieartikel sieht in Absatz 1 Buchstabe b vor, dass der Bund Vorschriften über den Energieverbrauch von Fahrzeugen erlassen kann. Auch die EG prüft gegenwärtig die Möglichkeit der Einführung dieser Massnahme. Wortlaut der Motion Neukomm vom 17. Juni 1981 Der Bundesrat wird ersucht, Artikel 12 des Bundesgesetzes über den Strassenverkehr in dem Sinn zu ergänzen, dass die an der Typenprüfung festgestellten Lärm-, Abgas- und Verbrauchswerte produktbegleitend und in der Werbung deklariert werden müssen. Texte de la motion Neukomm du 17juin 1981 Le Conseil fédéral est chargé de compléter l'article 12 de la loi fédérale sur la circulation routière de telle sorte que les valeurs limites du bruit, des gaz d'échappement et de la consommation de carburant relevées lors de l'expertise des types de véhicules doivent figurer dans la documenta- tion technique fournie avec le véhicule ou sur un autocol- lant, ainsi que dans la publicité. Mitunterzeichner - Cosignataires: Ammann-St. Gallen, Bäumlin, Bircher, Borei, Bundi, Deneys, Duvoisin, Gloor, Hubacher, Humbel, Jaeger, Jaggi, Kaufmann, Keller, Kopp, Lang, Loetscher, Meier Fritz, Morf, Müller-Luzern, Reimann, Riesen-Freiburg, Rubi, Schmid, Spiess, Stich, Uchtenha- gen, Vannay, Wagner, Zehnder, Ziegler-Genf, Zwygart (32)</w:t>
      </w:r>
    </w:p>
    <w:p>
      <w:r>
        <w:t>Schweizerisches Bundesarchiv, Digitale Amtsdruckschriften Archives fédérales suisses, Publications officielles numérisées Archivio federale svizzero, Pubblicazioni ufficiali digitali Interpellation Kopp Autoabgase. Reduktion der Schadstoffe Interpellation Kopp Gaz d'échappement des automobiles. Réduction des substances nuisibles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04 Séance Seduta Geschäftsnummer 81.307 Numéro d'objet Numero dell'oggetto Datum 10.06.1982 - 08:00 Date Data Seite 700-702 Page Pagina Ref. No 20 010 494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