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8018 2006-2653 vom 17. Oktober 2006</w:t>
      </w:r>
    </w:p>
    <w:p>
      <w:r>
        <w:t>Bundesverwaltung, 2006-10-17, DE</w:t>
      </w:r>
    </w:p>
    <w:p>
      <w:r>
        <w:rPr>
          <w:b/>
        </w:rPr>
        <w:t xml:space="preserve">Quelle: </w:t>
      </w:r>
      <w:r>
        <w:t>https://mcp.opencaselaw.ch/entscheid/ch_vb_8018_2006-2653_</w:t>
      </w:r>
    </w:p>
    <w:p>
      <w:r>
        <w:t>FR: CH_VB 8018 2006-2653 du 17 octobre 2006</w:t>
      </w:r>
    </w:p>
    <w:p>
      <w:r>
        <w:t>IT: CH_VB 8018 2006-2653 del 17 ottobre 2006</w:t>
      </w:r>
    </w:p>
    <w:p>
      <w:pPr>
        <w:pStyle w:val="Heading2"/>
      </w:pPr>
      <w:r>
        <w:t>Volltext</w:t>
      </w:r>
    </w:p>
    <w:p>
      <w:r>
        <w:t>8018 2006-2653 Exécution de la loi fédérale sur la formation professionnelle Le «Verband Schweizerischer Gärtnermeister (VSG)» et l’Association des Horti- culteurs de la Suisse romande (AHSR) ont déposé un projet de règlement concernant l’examen professionnel de Contremaître en horticulture Type Paysagiste en aména- gement de jardins, Type Paysagiste en entretien de jardins, Type Floriculteur, Type Pépiniériste, Type Cultivateur de plantes vivaces, Type Horticulteur Conseiller à la clientèle, Type Spécialiste en entretien de cimetières, Type Paysagiste en jardins et parcs naturels, conformément à l’art. 28, al. 2, de la loi fédérale du 13 décembre 2002 sur la formation professionnelle (RS 412.10) et à l’art. 25 et 26 de son ordon- 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17 octobre 2006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2006 Année Anno Band 1 Volume Volume Heft 41 Cahier Numero Geschäftsnummer --- Numéro d'affaire Numero dell'oggetto Datum 17.10.2006 Date Data Seite 8018-8018 Page Pagina Ref. No 10 140 007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