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80.590 vom 17. Dezember 1982</w:t>
      </w:r>
    </w:p>
    <w:p>
      <w:r>
        <w:t>Bundesverwaltung, 1982-12-17, DE</w:t>
      </w:r>
    </w:p>
    <w:p>
      <w:r>
        <w:rPr>
          <w:b/>
        </w:rPr>
        <w:t xml:space="preserve">Quelle: </w:t>
      </w:r>
      <w:r>
        <w:t>https://mcp.opencaselaw.ch/entscheid/ch_vb_80.590</w:t>
      </w:r>
    </w:p>
    <w:p>
      <w:r>
        <w:t>FR: CH_VB 80.590 du 17 décembre 1982</w:t>
      </w:r>
    </w:p>
    <w:p>
      <w:r>
        <w:t>IT: CH_VB 80.590 del 17 dicembre 1982</w:t>
      </w:r>
    </w:p>
    <w:p>
      <w:pPr>
        <w:pStyle w:val="Heading2"/>
      </w:pPr>
      <w:r>
        <w:t>Erwägungen</w:t>
      </w:r>
    </w:p>
    <w:p>
      <w:r>
        <w:rPr>
          <w:b/>
        </w:rPr>
        <w:t>E. 17</w:t>
      </w:r>
    </w:p>
    <w:p>
      <w:r>
        <w:t>Dezember 1982 1781 Motion Bundi und dass diese mit der Beendigung des Prozesses von neuem zu laufen beginnt. Ein neuer Fristenlauf beginnt auch im Zeitpunkt der letzten Prozesshandlung einer Partei oder des Gerichtes, wenn der Prozess in Stillstand gerät, beispielsweise weil er nicht weiterbetrieben wird. Es ist zu bezweifeln, ob-die Übernahme einer solchen Lösung ins schweizerische Recht dem nicht rechtskundigen Kläger helfen würde. c. Jede neue Lösung muss zudem im Hinblick auf die kan- tonalen Prozessordnungen und insbesondere auf das unterschiedlich geregelte Institut der Prozessverwirkung überprüft werden, um stossende Widersprüche zwischen kantonalem und Bundesrecht zu vermeiden. Die Überprüfung des Problems, wozu der Bundesrat bereit ist, muss diesen Gesichtspunkten Rechnung tragen. Schriftliche Erklärung des Bundesrates Déclaration écrite du Conseil fédéral Der Bundesrat beantragt, die Motion in ein Postulat umzu- wandeln. Überwiesen als Postulat - Transmis comme postulat #ST# 80.924 Motion Bundi Bäuerlicher Grundbesitz Propriété foncière rurale Wortlaut der Motion vom 18. Dezember 1980 Der Bundesrat wird eingeladen, mit einer Revision des Bun- desgesetzes über die Erhaltung des bäuerlichen Grundbe- sitzes Bestimmungen zu erlassen, die gutes und geeigne- tes Kulturland der Landwirtschaft tatsächlich auch sichern und erhalten. Insbesondere wird die Revision von Artikel 3 angestrebt. Texte de la motion du 18 décembre 1980 Le Conseil fédéral est chargé de préparer une révision de la loi fédérale sur le maintien de la propriété foncière rurale, de manière à établir des dispositions garantissant effective- ment aux agriculteurs la propriété de terres cultivables fer- tiles qui se prêtent à l'exploitation agricole, et empêchant véritablement un changement d'affectation de ces terres. Il s'agira en particulier de modifier l'article 3 de ladite loi. Mitunterzeichner - Cosignataires: Affolter, Akeret, Ammann-St. Gallen, Bäumlin, Bircher, Bratschi, Bühler- Tschappina, Christinat, Deneys, Dürr, Duvoisin, Felber, Frei-Romanshorn. Geissbühler, Gloor, Hofmann, Houmard, Hubacher, Jaggi, Kaufmann, Kühne, Lang, Loetscher, Mei- zoz, Morel, Muheim, Nef, Neukomm, Nussbaumer, Oester, Ogi, Räz, Reiniger, Renschier, Riesen-Freiburg, Risi- Schwyz, Robbiani, Roth, Rutishauser, Rüttimann, Schal- cher, Scherer, Uchtenhagen, Vannay, Wagner (45) Schriftliche Begründung - Développement par écrit Ein Hauptzweck des Bundesgesetzes über die Erhaltung des bäuerlichen Grundbesitzes vom Jahre 1951 war der Schutz des bäuerlichen Grundbesitzes als Träger eines gesunden und leistungsfähigen Bauernstandes. Rückblik- kend muss man feststellen, dass das Gesetz in diesem Punkte seinen Zweck in keiner Weise erfüllt hat. Die jüngsten Zahlen über die Entwicklung der landwirt- schaftlichen Nutzflächen in der Schweiz von 1939 bis 1975 (vgl. «Die Volkswirtschaft» August 1979) zeigen ein bedenk- liches Bild. Hier bestätigt eine wissenschaftliche Untersu- chung frühere Befürchtungen, Annahmen und Schätzungen über einen wesentlichen Kulturlandverlust in den betreffen- den 36 Jahren. Im besagten Zeitraum ging nämlich die in der Betriebszählung ausgewiesene landwirtschaftliche Nutzfläche um 112747 Hektaren oder um durchschnittlich etwa 3130 Hektaren pro Jahr zurück. Dieses Areal ist grös- ser als die Bodenfläche der Kantone Thurgau oder Uri. In 36 Jahren gingen mehr als 10 Prozent der heute bestehenden landwirtschaftlichen Fläche der Schweiz (1 032000 Hekta- ren) verloren. In der Tat dürfte der eigentliche Verlust an landwirtschaftlicher Nutzfläche aber noch über den ausge- wiesenen 112747 Hektaren liegen; denn die Untersuchung bezieht eine Flächenzunahme in manchen Berggebieten ein, die nur statistisch bedingt ist und auf unpräzisen und im Laufe der Zeit sich verändernden Abgrenzungen zwi- schen Heim- und Sömmerungsweiden beruht. Die Entwicklung auf dem Bau- und Verkehrssektor ver- drängt fortlaufend landwirtschaftliche Betriebe aus ihrem angestammten Gebiet. Allein für den ruhenden Verkehr (Parkplätze) werden heute in grösseren Gemeinden bis zu einem Drittel des Siedlungsareals beansprucht. Verschie- dene Planungen auf Quartier-, Orts- und Regionalebene führen zur Einengung und schliesslichen indirekten Ver- drängung landwirtschaftlicher Tätigkeiten. Dies hat insbe- sondere an Fremdenverkehrsorten bis zur völligen Aus- schaltung bäuerlicher Betriebe geführt. Bekanntlich sind nach bisherigem Planungsrecht an vielen Orten zu grosse und unzweckmässige Bauzonen ausgeschieden worden. Es ist vorauszusehen, dass diese Entwicklung (zu grosse Bau- zonen, zu bescheidene Landwirtschaftszonen) auch nach Inkrafttreten des eidgenössischen Raumplanungsgesetzes weitergeht. Für die Landwirtschaft ergibt sich dadurch der Zwang zur noch stärkeren Konzentration und Intensivbe- wirtschaftung. Gutes, intensiv genutztes Land nimmt pro- portional stärker ab als extensiv genutzte Böden. Der anhaltende Einbezug guten Kulturlandes in die Bauzonen führt nicht selten dazu, dass bei Hofübertragungen (Erbtei- lungen) der Sohn den Bauernbetrieb in der Zukunft nicht mehr bewirtschaften kann. Dazu kommt das Problem der indirekten Aufwertung des landwirtschaftlichen Bodens zum Baulandpreis, wodurch der Hofnachfolger sich über- haupt ausserstande sieht, seine Geschwister dementspre- chend abzugelten. Ihm bleibt schliesslich nur die Veräusse- rung des Betriebes und die Hinwendung zu einem anderen Beruf übrig. Womit nicht nur eine Schmälerung des bäuerli- chen Grundbesitzes eintritt, sondern auch ein weiterer Rückgang der in der Landwirtschaft tätigen Bevölkerung. Und bei diesem Stand der Dinge muss man feststellen, dass unser Bundesgesetz in mehreren Punkten nicht zu genügen vermag. Die Fragen des Bodenpreises, des Vorkaufsrechtes und des Einspracheverfahrens bildeten Gegenstand einer Motion Broger vom Jahre 1973, die der Ständerat damals als Postulat überwies. Der Bundesrat erklärte sich bereit, diese Probleme im Hinblick auf die nächste umfassende Revision des Gesetzes zeitgerecht abzuklären. Unterdes- sen sind sieben Jahre vergangen. - Ein Haupthindernis für die Zweckmässigkeit des genannten Bundesgesetzes scheint mir auch im Artikel 3 zu liegen, wo es heisst: «Die Kantone können die Anwendung dieses Gesetzes auf Bau- zonen, die für die Entwicklung einer Ortschaft unentbehr- lich sind, ausschliessen. Sie können diese Befugnis den von ihnen bezeichneten Gemeinden übertragen, unter Vor- behalt der Genehmigung der von diesen erlassenen Vor- schriften durch eine kantonale Behörde.» Unter dem Titel der für eine Ortschaft unentbehrlichen Entwicklung kann alles mögliche untergebracht und bäuerlicher Grundbesitz noch und noch zweckentfremdet werden. In diesem Zusam- menhang muss auch erwähnt werden, dass bereits eine starke Belastung von Grundstücken mit öffentlich-rechtli- chen Dienstbarkeiten eine Erschwerung der praktischen Bewirtschaftung herbeiführen und letztlich deren Aufgabe erzwingen kann. Dies geht zum Beispiel aus dem Fall her- vor, wo die zuständige Behörde den Betrieb eines geplan- ten Skiliftes als in einem «eminenten öffentlichen Interesse» liegend bezeichnete und damit der Erteilung des Enteig- nungsrechtes zustimmte. Artikel 3 muss demnach minde- 225-N</w:t>
      </w:r>
    </w:p>
    <w:p>
      <w:r>
        <w:t>Schweizerisches Bundesarchiv, Digitale Amtsdruckschriften Archives fédérales suisses, Publications officielles numérisées Archivio federale svizzero, Pubblicazioni ufficiali digitali Motion Leuenberger Verjährung während eines hängigen Prozesses Motion Leuenberger Prescription durant un procès en cours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80.590 Numéro d'objet Numero dell'oggetto Datum 17.12.1982 - 08:00 Date Data Seite 1780-1781 Page Pagina Ref. No</w:t>
      </w:r>
    </w:p>
    <w:p>
      <w:r>
        <w:rPr>
          <w:b/>
        </w:rPr>
        <w:t>E. 20</w:t>
      </w:r>
    </w:p>
    <w:p>
      <w:r>
        <w:t>011 035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