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79.062 vom 4. März 1982</w:t>
      </w:r>
    </w:p>
    <w:p>
      <w:r>
        <w:t>Bundesverwaltung, 1982-03-04, DE</w:t>
      </w:r>
    </w:p>
    <w:p>
      <w:r>
        <w:rPr>
          <w:b/>
        </w:rPr>
        <w:t xml:space="preserve">Quelle: </w:t>
      </w:r>
      <w:r>
        <w:t>https://mcp.opencaselaw.ch/entscheid/ch_vb_79.062</w:t>
      </w:r>
    </w:p>
    <w:p>
      <w:r>
        <w:t>FR: CH_VB 79.062 du 4 mars 1982</w:t>
      </w:r>
    </w:p>
    <w:p>
      <w:r>
        <w:t>IT: CH_VB 79.062 del 4 marzo 1982</w:t>
      </w:r>
    </w:p>
    <w:p>
      <w:pPr>
        <w:pStyle w:val="Heading2"/>
      </w:pPr>
      <w:r>
        <w:t>Erwägungen</w:t>
      </w:r>
    </w:p>
    <w:p>
      <w:r>
        <w:rPr>
          <w:b/>
        </w:rPr>
        <w:t>E. 4</w:t>
      </w:r>
    </w:p>
    <w:p>
      <w:r>
        <w:t>mars 1982 possible.» La seconde divergence porte sur le temps qui serait imparti aux CFF afin de chercher à couvrir entière- ment les coûts de ce trafic par wagons complets. Votre commission avait choisi la formule suivante: «pour rétablir entièrement si possible la couverture des coûts d'ici à 1986». Par 16 voix contre 9, pour le premier point, et par 15 voix contre 10 pour le second, votre commission vous pro- pose de maintenir sa rédaction initiale. Il n'y a pas de différence fondamentale - comme l'a d'ail- leurs relevé M. Couchepin - entre ces deux formules. C'est, surtout en ce qui concerne le temps, une question de nuance. Entre la solution du Conseil fédéral adoptée sans grande discussion, il faut le dire, par le Conseil des Etats et qui demande aux CFF de s'efforcer de couvrir entièrement les coûts à long terme et la version de votre commission qui voudrait rétablir entièrement, si possible, la couverture des coûts d'ici à 1986 - je rappelle que ce terme est la fin du contrat que nous discutons - il n'y a pas une différence fondamentale. C'est la raison qui m'a poussé personnellement à choisir la solution de la minorité, afin de ne pas créer une divergence pour cette question qui n'est absolument pas fondamen- tale. Au nom de la majorité, je dois cependant vous prier d'accepter et de soutenir la proposition de la majorité de votre commission. Bundesrat Schlumpt: Es wurde von den Herren Kommis- sionsreferenten und verschiedenen Votanten mit Recht her- ausgestrichen, dass die Differenzen zum Ständerat, die hier in Frage stehen, nicht von grosser Bedeutung sind. Was sind diese Differenzen? Das eine ist einmal die Frage der Frist. Soll man sagen «län- gerfristig», wie Ständerat und Bundesrat, oder soll man sagen «nach Möglichkeit bis 1986»? Ich überlasse den Ent- scheid zu dieser Frage nicht nur aus Vertrauen Ihnen, son- dern weil es für uns in der Tat keinen Unterschied aus- macht, ob man die eine oder andere Formulierung wählt. Der Bundesrat war der Meinung, aus Gründen der Klarheit sei es besser, keine terminliche Fixierung vorzunehmen, die ohnehin bis 1986 nicht realisierbar wäre, sondern eben nur «nach Möglichkeit». Die zweite Differenz besteht in dem, was vor allem National- rat Meier richtigerweise sagte. Die Formulierung des Bun- desrates enthält auch ein verkehrspolitisches Element, nämlich Anstreben eines grösstmöglichen Anteils an wesensgerechtem Güterverkehr für die Schiene, und das ist eben der Wagenladungsverkehr. Das ist der für die Schiene wesensgerechte Güterverkehr. Der Bundesrat sagt dann in seiner Formulierung im Sinne einer Einschränkung dieser Zielsetzung «im Rahmen der Kapazitäten». Man soll also dieses Ziel nicht uferlos verfolgen, sondern im Rahmen der Kapazitäten, im Sinne einer guten Auslastung. Der Beschluss des Nationalrates und der heutige Antrag der Kommissionsmehrheit haben einfach die betriebswirt- schaftliche Beurteilung im Zentrum und lassen die ver- kehrspolitische Aufgabenstellung weg. Auch das wäre an und für sich für die Periode bis 1986 kein Unglück für die SBB. Wir werden nämlich diese verkehrspolitische Zielset- zung, die ja der GVK entspricht, ohnehin verfolgen, auch wenn das in diesem Artikel 4 nicht ausdrücklich gesagt wurde. Aber aus Gründen der vollständigen Aufgabenstel- lung und der Klarheit wollte der Bundesrat eben dieses ver- kehrspolitische Element einbauen und zum Ausdruck brin- gen, indem er sagte: «Die SBB sollen bestrebt sein, im Rah- men der Kapazitäten einen möglichst grossen Anteil an wesensgerechtem Güterverkehr zu erlangen.» Das ist die Meinung des Bundesrates, und sie lässt sich sehr gut ver- treten. Abstimmung - Vote Für den Antrag der Mehrheit Für den Antrag der Minderheit 62 Stimmen 33 Stimmen Art. 6 Abs. 2 Antrag der Kommission Mehrheit Festhalten Minderheit (Ammann-St. Gallen, Chopard, Gloor, Hösli, Loetscher, Meier Werner, Wagner, Weber-Arbon) Zustimmung zum Beschluss des Ständerates Art. 6 al. 2 Proposition de la commission Majorité Maintenir Minorité (Ammann-Saint-Gall, Chopard, Gloor, Hösli, Loetscher, Meier Werner, Wagner, Weber-Arbon) Adhérer à la décision du Conseil des Etats Ammann-St. Gallen, Sprecher der Minderheit: In Überein- stimmung mit dem Ständerat schlage ich Ihnen im Namen der Kommissionsminderheit vor, die Finanzhilfe an die ungedeckten Kosten des Stückgutverkehrs bei Artikel 6 jährlich nur um 15 statt um 25 Millionen Franken herabzu- setzen. Die Mehrheit der Kommission beantragt demgegen- über Festhalten am ursprünglichen Beschluss des National- rates. Die Leidensgeschichte dieses unseligen Stückgutverkehrs dauert wahrhaftig schon allzu lange, als dass es noch einer Fortsetzung bedurft hätte. Scheinbar geht es aber nicht anders. Bevor wir uns jedoch endgültig in den Schützengra- ben eines unergiebigen Stellungskrieges zwischen beiden Kammern begeben, möchte ich Sie bitten, doch einiges zu bedenken. Bleiben wir dabei aber auf dem Boden der Wirk- lichkeit: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