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7820 2007-2647 vom 18. Mai 2005</w:t>
      </w:r>
    </w:p>
    <w:p>
      <w:r>
        <w:t>Bundesverwaltung, 2005-05-18, DE</w:t>
      </w:r>
    </w:p>
    <w:p>
      <w:r>
        <w:rPr>
          <w:b/>
        </w:rPr>
        <w:t xml:space="preserve">Quelle: </w:t>
      </w:r>
      <w:r>
        <w:t>https://mcp.opencaselaw.ch/entscheid/ch_vb_7820_2007-2647_</w:t>
      </w:r>
    </w:p>
    <w:p>
      <w:r>
        <w:t>FR: CH_VB 7820 2007-2647 du 18 mai 2005</w:t>
      </w:r>
    </w:p>
    <w:p>
      <w:r>
        <w:t>IT: CH_VB 7820 2007-2647 del 18 maggio 2005</w:t>
      </w:r>
    </w:p>
    <w:p>
      <w:pPr>
        <w:pStyle w:val="Heading2"/>
      </w:pPr>
      <w:r>
        <w:t>Erwägungen</w:t>
      </w:r>
    </w:p>
    <w:p>
      <w:r>
        <w:rPr>
          <w:b/>
        </w:rPr>
        <w:t>E. 1</w:t>
      </w:r>
    </w:p>
    <w:p>
      <w:r>
        <w:t>Caractéristiques du produit (pour tous les produits mentionnés) Substance(s) active(s): napropamide 450 g/l Formulation: SC suspension concentrée</w:t>
      </w:r>
    </w:p>
    <w:p>
      <w:r>
        <w:rPr>
          <w:b/>
        </w:rPr>
        <w:t>E. 2</w:t>
      </w:r>
    </w:p>
    <w:p>
      <w:r>
        <w:t>Produits commerciaux Agrotrade- Napropamide 450 SC Numéro d’homologation suisse: A-4018 Pays d’origine: Autriche numéro d’homologation étranger: 2348-1 titulaire de l’autorisation étranger: Agrotech Trading Applications autorisées: Domaine d’application Organisme nuisible/effets Application (*) Culture maraîchère</w:t>
      </w:r>
    </w:p>
    <w:p>
      <w:r>
        <w:t>fraise dicotylédones annuelles, monocotylédones annuelles Dosage: 2.5–3 l/ha Application: automne, aussitôt après le semis.</w:t>
      </w:r>
    </w:p>
    <w:p>
      <w:r>
        <w:t>Grande culture</w:t>
      </w:r>
    </w:p>
    <w:p>
      <w:r>
        <w:t>colza dicotylédones annuelles, monocotylédones annuelles Dosage: 3 l/ha Application: automne; avec incorporation avant le semis; en pré-levée après le semis, sans incorporation.</w:t>
      </w:r>
    </w:p>
    <w:p>
      <w:r>
        <w:t>tabac dicotylédones annuelles, monocotylédones annuelles Dosage: 2.5–3 l/ha Application: printemps; avant ou immédiatement après la plantation.</w:t>
      </w:r>
    </w:p>
    <w:p>
      <w:r>
        <w:t>1 RS 916.161</w:t>
      </w:r>
    </w:p>
    <w:p>
      <w:r>
        <w:t>7821 Domaine d’application Organisme nuisible/effets Application (*) Culture ornementale</w:t>
      </w:r>
    </w:p>
    <w:p>
      <w:r>
        <w:t>arbustes d’ornement (hors forêt) [plantes d’ornement annuelles et bisannuelles], plantes ligneuses (hors forêt) dicotylédones annuelles, monocotylédones annuelles Dosage: 6 l/ha 1, 2 arbustes d’ornement (hors forêt) [plantes d’ornement annuelles et bisannuelles], plantes ligneuses (hors forêt) dicotylédones annuelles, monocotylédones annuelles Dosage: 8 l/ha</w:t>
      </w:r>
    </w:p>
    <w:p>
      <w:r>
        <w:rPr>
          <w:b/>
        </w:rPr>
        <w:t>E. 3</w:t>
      </w:r>
    </w:p>
    <w:p>
      <w:r>
        <w:t>= Sol lourd, humifère.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27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48 Cahier Numero Geschäftsnummer --- Numéro d'affaire Numero dell'oggetto Datum 27.11.2007 Date Data Seite 7820-7821 Page Pagina Ref. No 10 141 155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