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77.231 vom 16. März 1983</w:t>
      </w:r>
    </w:p>
    <w:p>
      <w:r>
        <w:t>Bundesverwaltung, 1983-03-16, DE</w:t>
      </w:r>
    </w:p>
    <w:p>
      <w:r>
        <w:rPr>
          <w:b/>
        </w:rPr>
        <w:t xml:space="preserve">Quelle: </w:t>
      </w:r>
      <w:r>
        <w:t>https://mcp.opencaselaw.ch/entscheid/ch_vb_77.231</w:t>
      </w:r>
    </w:p>
    <w:p>
      <w:r>
        <w:t>FR: CH_VB 77.231 du 16 mars 1983</w:t>
      </w:r>
    </w:p>
    <w:p>
      <w:r>
        <w:t>IT: CH_VB 77.231 del 16 marzo 1983</w:t>
      </w:r>
    </w:p>
    <w:p>
      <w:pPr>
        <w:pStyle w:val="Heading2"/>
      </w:pPr>
      <w:r>
        <w:t>Erwägungen</w:t>
      </w:r>
    </w:p>
    <w:p>
      <w:r>
        <w:rPr>
          <w:b/>
        </w:rPr>
        <w:t>E. 16</w:t>
      </w:r>
    </w:p>
    <w:p>
      <w:r>
        <w:t>März 1983 449 Schutz der Mutterschaft. Volksinitiative Mutter zu werden, möglichst zu erleichtern. Unsere Kran- kenversicherungen sind bisher diesen Verpflichtungen recht gut und wirkungsvoll nachgekommen. Nun will die Volksinitiative «Schutz der Mutterschaft», unterstützt durch die parlamentarische Initiative Nanchen, zu den bisherigen Hilfen weitere Stützungen zusichern. Neben dem bisher üblichen Mutterschaftsurlaub soll noch ein bezahlter Eltern- urlaub von neun Monaten gewährt und ein Kündigungs- schutz des Arbeitsverhältnisses während der Schwanger- schaft und des Elternurlaubes sichergestellt werden. Sehr willkürlich gewählt scheint mir ein neunmonatiger Elternurlaub. Ein Wickelkind braucht nämlich nicht gehütet zu werden, es braucht eine sorgfältige Pflege. Diese darf aber nach neun Monaten nicht aufhören, vielmehr braucht der kleine Erdenbürger in dem Jahr, da er die ersten Schritte macht, mehr Wartung als ein Wickelkind. Diese Verpflichtung lässt mit dem zweiten Lebensjahr nicht nach, ja sie nimmt mit dem Grösserwerden des Kindes noch zu. Deshalb sehe ich die Begründung für einen neunmonatigen Elternurlaub nicht ein. Die vorgeschlagene Versicherung wäre neben finanziellen Hilfen von Bund und Kantonen durch Beiträge vom Erwerbseinkommen nach dem Modell der AHV zu finanzie- ren, was nach angestellten Berechnungen um ein Prozent ausmachen würde. In diesem Punkt erwachsen der Initiative die grössten Widerstände. Denn alle Erwerbstätigen, junge, ledige, kinderlose, ältere -Verdienende, die keine Kinder mehr kriegen, müssten der kleinen Gruppe junger Eltern die gewährten Vergünstigungen mitfinanzieren helfen. Es ist wichtig, dass unsere AHV/IV ihren wertvollen Dienst weiter- hin ungeschmälert tun kann. Wenn aber die Soziallasten des einzelnen Bürgers immer härter werden - und mit unse- rer ständig wachsenen Überalterung ist das zu befürchten -, dürfen wir die Lohnprozente unserer im Erwerbsleben stehenden Bevölkerung nicht langsam zu einem Raubzug benützen. Nachdem unsere Krankenversicherungen mit ihren jahre- langen Erfahrungen und wertvollen Leistungen in der Mut- terschaftsversicherung eine solide Basis bilden und nach der bundesrätlichen Botschaft vom 19. August des Jahres 1981 die Revision der geltenden Gesetzesbestimmungen im Bereich der Mutterschaftsversicherung wirkungsvoll ergänzt werden, scheinen mir die wichtigsten Forderungen der Initiativen abgedeckt zu sein, und wir brauchen keine neue Organisation aufzubauen. Freilich können in Einzelfäl- len wegen besonderer Umstände durch eine Geburt Notzei- ten einkehren. Aber ein Bundesgesetz kann sich unmöglich solcher Einzelfälle annehmen. Hier muss sich die örtliche Fürsorge gezielt und tatkräftig solcher Notfälle annehmen und vorhandene Engpässe überbrücken. Diese Fragen gehören auch ins Gebiet der Aufgabenteilung zwischen Bund und Kantonen. Der Bund steckt den grossen Rahmen ab. Der Kanton und mit ihm die Gemeinden können besser ermessen, wo besondere Hilfe nötig ist, ohne dass Bundes- gelder in ohnehin schon volle Taschen fliessen.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