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2005-3297 vom 13. Dezember 2005</w:t>
      </w:r>
    </w:p>
    <w:p>
      <w:r>
        <w:t>Bundesverwaltung, 2005-12-13, DE</w:t>
      </w:r>
    </w:p>
    <w:p>
      <w:r>
        <w:rPr>
          <w:b/>
        </w:rPr>
        <w:t xml:space="preserve">Quelle: </w:t>
      </w:r>
      <w:r>
        <w:t>https://mcp.opencaselaw.ch/entscheid/ch_vb_76_2005-3297_</w:t>
      </w:r>
    </w:p>
    <w:p>
      <w:r>
        <w:t>FR: CH_VB 76 2005-3297 du 13 décembre 2005</w:t>
      </w:r>
    </w:p>
    <w:p>
      <w:r>
        <w:t>IT: CH_VB 76 2005-3297 del 13 dicembre 2005</w:t>
      </w:r>
    </w:p>
    <w:p>
      <w:pPr>
        <w:pStyle w:val="Heading2"/>
      </w:pPr>
      <w:r>
        <w:t>Volltext</w:t>
      </w:r>
    </w:p>
    <w:p>
      <w:r>
        <w:t>6576 2005-3297 Exécution de la loi fédérale sur la formation professionnelle L’Association suisse des gardes-faune (ASGF) a déposé un projet de modification de règlement concernant l’examen professionnel de garde faune, conformément à l’art. 28, al. 2, de la loi fédérale du 13 décembre 2002 sur la formation profession- 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13 décembre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49 Cahier Numero Geschäftsnummer --- Numéro d'affaire Numero dell'oggetto Datum 13.12.2005 Date Data Seite 6576-6576 Page Pagina Ref. No 10 139 129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