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76.221 vom 22. Juni 1982</w:t>
      </w:r>
    </w:p>
    <w:p>
      <w:r>
        <w:t>Bundesverwaltung, 1982-06-22, DE</w:t>
      </w:r>
    </w:p>
    <w:p>
      <w:r>
        <w:rPr>
          <w:b/>
        </w:rPr>
        <w:t xml:space="preserve">Quelle: </w:t>
      </w:r>
      <w:r>
        <w:t>https://mcp.opencaselaw.ch/entscheid/ch_vb_76.221</w:t>
      </w:r>
    </w:p>
    <w:p>
      <w:r>
        <w:t>FR: CH_VB 76.221 du 22 juin 1982</w:t>
      </w:r>
    </w:p>
    <w:p>
      <w:r>
        <w:t>IT: CH_VB 76.221 del 22 giugno 1982</w:t>
      </w:r>
    </w:p>
    <w:p>
      <w:pPr>
        <w:pStyle w:val="Heading2"/>
      </w:pPr>
      <w:r>
        <w:t>Erwägungen</w:t>
      </w:r>
    </w:p>
    <w:p>
      <w:r>
        <w:rPr>
          <w:b/>
        </w:rPr>
        <w:t>E. 22</w:t>
      </w:r>
    </w:p>
    <w:p>
      <w:r>
        <w:t>Juni 1982 335 Parlamentarische Initiative tonsbeteiligung abgelehnt, jetzt komme man von neuem damit. Ich sehe zwischen diesen beiden Beteiligungen einen Unterschied: Bei der Schwerverkehrsabgabe ist bereits eine nicht gedeckte Strassenrechnung vorhanden; diese kann man nicht als bloss fiskalische Abgabe bezeich- nen. Beim Schwerverkehr haben wir ein Loch in der Bun- deskasse, das es zu füllen gilt. Beim PW-Verkehr haben wir keine Kostenunterdeckung des Bundes; das Loch besteht in der Kasse der Kantone. Zudem haben wir in der heute beschlossenen definitiven Lösung der Schwerverkehrsab- gabe in der Verfassungsbestimmung auch den Grundsatz der Kantonsbeteiligung. Bei der Vignette fehlt die definitive Lösung; es handelt sich nur um eine Übergangslösung. Darum - um da gleichzuziehen - müssen wir die Kantons- beteiligung hier einfügen. Damit ist auch bereits der Minder- heitsantrag begründet. Stucki: Die Erhebung einer jährlichen Abgabe für die Benützung der Autobahnen wäre zwar machbar, trotzdem ein gewisser administrativer Aufwand und entsprechende Kontrollvorkehrungen getroffen werden müssten. Ich gebe auch zu, dass wegen der Gleichbehandlung der ausländi- schen mit den inländischen Fahrzeughaltern eine Vignette ein Stück weit gerechtfertigt und vertretbar zu sein scheint. Bei der vorgeschlagenen Ausgestaltung der Autobahnvi- gnette handelt es sich jedoch um eine verkehrspolitisch nicht begründbare Finanzierungsquelle, die vor allem nicht GVK-konform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