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7222 2003-2386 vom 20. November 2003</w:t>
      </w:r>
    </w:p>
    <w:p>
      <w:r>
        <w:t>Bundesverwaltung, 2003-11-20, DE</w:t>
      </w:r>
    </w:p>
    <w:p>
      <w:r>
        <w:rPr>
          <w:b/>
        </w:rPr>
        <w:t xml:space="preserve">Quelle: </w:t>
      </w:r>
      <w:r>
        <w:t>https://mcp.opencaselaw.ch/entscheid/ch_vb_7222_2003-2386_</w:t>
      </w:r>
    </w:p>
    <w:p>
      <w:r>
        <w:t>FR: CH_VB 7222 2003-2386 du 20 novembre 2003</w:t>
      </w:r>
    </w:p>
    <w:p>
      <w:r>
        <w:t>IT: CH_VB 7222 2003-2386 del 20 novembre 2003</w:t>
      </w:r>
    </w:p>
    <w:p>
      <w:pPr>
        <w:pStyle w:val="Heading2"/>
      </w:pPr>
      <w:r>
        <w:t>Volltext</w:t>
      </w:r>
    </w:p>
    <w:p>
      <w:r>
        <w:t>7222 2003-2386 Arrêté du Conseil fédéral étendant le champ d’application de la convention collective de travail romande du second œuvre Prolongation et modification du 20 novembre 2003</w:t>
      </w:r>
    </w:p>
    <w:p>
      <w:r>
        <w:t>Le Conseil fédéral suisse arrête: I La durée de validité de l’arrêté du Conseil fédéral du 12 novembre 20021 qui étend la convention collective de travail romande du second œuvre, est prorogée. II L’arrêté du Conseil fédéral du 12 novembre 20021 qui étend la convention collective de travail romande du second œuvre est modifié comme suit (modification du champ d’application): Art. 2, al. 2, let. c (canton de Neuchâtel): Plâtrerie et peinture ajoutée. III Le champ d’application des clauses suivantes, qui modifient la convention collective de travail romande du second œuvre, annexée à l’arrêté du Conseil fédéral du 12 novembre 20021, est étendu2:</w:t>
      </w:r>
    </w:p>
    <w:p>
      <w:r>
        <w:t>Art. 34 Prévoyance professionnelle</w:t>
      </w:r>
    </w:p>
    <w:p>
      <w:r>
        <w:t>Art. 39 Contribution aux frais d’exécution et de perfectionnement professionnel</w:t>
      </w:r>
    </w:p>
    <w:p>
      <w:r>
        <w:t>Annexe II Art. 5 Salaires de base</w:t>
      </w:r>
    </w:p>
    <w:p>
      <w:r>
        <w:t>1 FF 2002 7054–7056 2 Des tirés à part de l’extension peuvent être obtenus auprès de l’OFCL, Diffusion des publications, 3003 Berne.</w:t>
      </w:r>
    </w:p>
    <w:p>
      <w:r>
        <w:t>Champ d’application de la convention collective de travail romande du second œuvre. ACF</w:t>
      </w:r>
    </w:p>
    <w:p>
      <w:r>
        <w:t>7223 Annexe VI Contribution aux frais d’exécution et de perfectionnement professionnel</w:t>
      </w:r>
    </w:p>
    <w:p>
      <w:r>
        <w:t>Annexe VII Avenant neuchâtelois du secteur de la plâtrerie-peinture IV Chaque année, les comptes annuels détaillés, ainsi que le budget pour le prochain exercice doivent être soumis à la Direction du travail du seco au sujet des contribu- tions aux frais d’exécution (art. 39).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V Les employeurs qui ont accordé à leurs travailleurs/travailleuses depuis le 1er janvier 2003 une augmentation de salaire, peuvent en tenir compte dans l’augmentation de salaire selon l’art. 5 de la convention de travail. VI Le présent arrêté entre en vigueur le 1er janvier 2004 et a effet jusqu’au 31 décembre 2005. Pour les régions alémaniques des cantons de Fribourg (La Singine et Le Lac) et du Valais (Haut-Valais), l’arrêté est en vigueur jusqu’au 31 décembre 2004. 20 novembre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romande du second oeuvre In Bundesblatt Dans Feuille fédérale In Foglio federale Jahr 2003 Année Anno Band 1 Volume Volume Heft 48 Cahier Numero Geschäftsnummer --- Numéro d'affaire Numero dell'oggetto Datum 09.12.2003 Date Data Seite 7222-7223 Page Pagina Ref. No 10 127 892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