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720 2005-3461 vom 18. Mai 2005</w:t>
      </w:r>
    </w:p>
    <w:p>
      <w:r>
        <w:t>Bundesverwaltung, 2005-05-18, DE</w:t>
      </w:r>
    </w:p>
    <w:p>
      <w:r>
        <w:rPr>
          <w:b/>
        </w:rPr>
        <w:t xml:space="preserve">Quelle: </w:t>
      </w:r>
      <w:r>
        <w:t>https://mcp.opencaselaw.ch/entscheid/ch_vb_720_2005-3461_</w:t>
      </w:r>
    </w:p>
    <w:p>
      <w:r>
        <w:t>FR: CH_VB 720 2005-3461 du 18 mai 2005</w:t>
      </w:r>
    </w:p>
    <w:p>
      <w:r>
        <w:t>IT: CH_VB 720 2005-3461 del 18 maggio 2005</w:t>
      </w:r>
    </w:p>
    <w:p>
      <w:pPr>
        <w:pStyle w:val="Heading2"/>
      </w:pPr>
      <w:r>
        <w:t>Erwägungen</w:t>
      </w:r>
    </w:p>
    <w:p>
      <w:r>
        <w:rPr>
          <w:b/>
        </w:rPr>
        <w:t>E. 1</w:t>
      </w:r>
    </w:p>
    <w:p>
      <w:r>
        <w:t>Caractéristiques du produit (pour tous les produits mentionnés) Substance(s) active(s): Chlorothalonil (TCPN) 500 g/l Formulation: SC</w:t>
      </w:r>
    </w:p>
    <w:p>
      <w:r>
        <w:rPr>
          <w:b/>
        </w:rPr>
        <w:t>E. 2</w:t>
      </w:r>
    </w:p>
    <w:p>
      <w:r>
        <w:t>= 7–10 jours d’intervalle entre les traitements.</w:t>
      </w:r>
    </w:p>
    <w:p>
      <w:r>
        <w:rPr>
          <w:b/>
        </w:rPr>
        <w:t>E. 3</w:t>
      </w:r>
    </w:p>
    <w:p>
      <w:r>
        <w:t>= Premier traitement en cas de risque d’infection ou sur conseil du service d’avertissement.</w:t>
      </w:r>
    </w:p>
    <w:p>
      <w:r>
        <w:rPr>
          <w:b/>
        </w:rPr>
        <w:t>E. 4</w:t>
      </w:r>
    </w:p>
    <w:p>
      <w:r>
        <w:t>= Deux semaines de délai d’attente pour les pommes de terre primeurs.</w:t>
      </w:r>
    </w:p>
    <w:p>
      <w:r>
        <w:rPr>
          <w:b/>
        </w:rPr>
        <w:t>E. 5</w:t>
      </w:r>
    </w:p>
    <w:p>
      <w:r>
        <w:t>= 1 traitement au maximum vers la fin de l’épiaison et jusqu’au début de l’anthèse (BBCH 57–61).</w:t>
      </w:r>
    </w:p>
    <w:p>
      <w:r>
        <w:rPr>
          <w:b/>
        </w:rPr>
        <w:t>E. 6</w:t>
      </w:r>
    </w:p>
    <w:p>
      <w:r>
        <w:t>= Dans les expositions présentant un risque de septoriose et sur les variétés sensibles.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722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02 Cahier Numero Geschäftsnummer --- Numéro d'affaire Numero dell'oggetto Datum 17.01.2006 Date Data Seite 720-722 Page Pagina Ref. No</w:t>
      </w:r>
    </w:p>
    <w:p>
      <w:r>
        <w:rPr>
          <w:b/>
        </w:rPr>
        <w:t>E. 10</w:t>
      </w:r>
    </w:p>
    <w:p>
      <w:r>
        <w:t>139 253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