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 2005-3459 vom 18. Mai 2005</w:t>
      </w:r>
    </w:p>
    <w:p>
      <w:r>
        <w:t>Bundesverwaltung, 2005-05-18, DE</w:t>
      </w:r>
    </w:p>
    <w:p>
      <w:r>
        <w:rPr>
          <w:b/>
        </w:rPr>
        <w:t xml:space="preserve">Quelle: </w:t>
      </w:r>
      <w:r>
        <w:t>https://mcp.opencaselaw.ch/entscheid/ch_vb_718_2005-3459_</w:t>
      </w:r>
    </w:p>
    <w:p>
      <w:r>
        <w:t>FR: CH_VB 718 2005-3459 du 18 mai 2005</w:t>
      </w:r>
    </w:p>
    <w:p>
      <w:r>
        <w:t>IT: CH_VB 718 2005-3459 del 18 maggio 2005</w:t>
      </w:r>
    </w:p>
    <w:p>
      <w:pPr>
        <w:pStyle w:val="Heading2"/>
      </w:pPr>
      <w:r>
        <w:t>Erwägungen</w:t>
      </w:r>
    </w:p>
    <w:p>
      <w:r>
        <w:rPr>
          <w:b/>
        </w:rPr>
        <w:t>E. 1</w:t>
      </w:r>
    </w:p>
    <w:p>
      <w:r>
        <w:t>Caractéristiques du produit (pour tous les produits mentionnés) Substance(s) active(s): Folpet 25.0 % Aluminiumfosetyl (Fosetyl-Al) 50 % Cymoxanil 4 % Formulation: WG</w:t>
      </w:r>
    </w:p>
    <w:p>
      <w:r>
        <w:rPr>
          <w:b/>
        </w:rPr>
        <w:t>E. 2</w:t>
      </w:r>
    </w:p>
    <w:p>
      <w:r>
        <w:t>= N’est pas miscible avec des produits cupriques (danger de brûlure des feuilles).</w:t>
      </w:r>
    </w:p>
    <w:p>
      <w:r>
        <w:rPr>
          <w:b/>
        </w:rPr>
        <w:t>E. 3</w:t>
      </w:r>
    </w:p>
    <w:p>
      <w:r>
        <w:t>= Convient également pour l’application par voie aérienne.</w:t>
      </w:r>
    </w:p>
    <w:p>
      <w:r>
        <w:t>1 RS 916.161</w:t>
      </w:r>
    </w:p>
    <w:p>
      <w:r>
        <w:t>719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02 Cahier Numero Geschäftsnummer --- Numéro d'affaire Numero dell'oggetto Datum 17.01.2006 Date Data Seite 718-719 Page Pagina Ref. No 10 139 252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