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7188 2006-2363 vom 19. September 2006</w:t>
      </w:r>
    </w:p>
    <w:p>
      <w:r>
        <w:t>Bundesverwaltung, 2006-09-19, DE</w:t>
      </w:r>
    </w:p>
    <w:p>
      <w:r>
        <w:rPr>
          <w:b/>
        </w:rPr>
        <w:t xml:space="preserve">Quelle: </w:t>
      </w:r>
      <w:r>
        <w:t>https://mcp.opencaselaw.ch/entscheid/ch_vb_7188_2006-2363_</w:t>
      </w:r>
    </w:p>
    <w:p>
      <w:r>
        <w:t>FR: CH_VB 7188 2006-2363 du 19 septembre 2006</w:t>
      </w:r>
    </w:p>
    <w:p>
      <w:r>
        <w:t>IT: CH_VB 7188 2006-2363 del 19 settembre 2006</w:t>
      </w:r>
    </w:p>
    <w:p>
      <w:pPr>
        <w:pStyle w:val="Heading2"/>
      </w:pPr>
      <w:r>
        <w:t>Volltext</w:t>
      </w:r>
    </w:p>
    <w:p>
      <w:r>
        <w:t>7188 2006-2363 Exécution de la loi fédérale sur la formation professionnelle Le «Schweizerischer Verband der Immobilienwirtschaft SVIT», l’Union suisse des professionnels de l’immobilier USPI et l’Union suisse des experts cantonaux en matière d’évaluation des immeubles USECE ont déposé un projet de règlement concernant l’examen professionnel de gérant d’immeubles/gérante d’immeubles, expert en estimations immobilières/experte en estimations immobilières, courtier en immeubles/courtière en immeubles, promoteur immobilier/promotrice immobilière, conformément à l’art. 28, al. 2, de la loi fédérale du 13 décembre 2002 sur la for- mation professionnelle (RS 412.10) et à l’art. 25 et 26 de son ordonnance d’exé- cution du 19 novembre 2003 (RS 412.101). Le «Schweizerischer Verband der Immobilienwirtschaft SVIT» et l’Union suisse des professionnels de l’immobilier USPI ont déposé un projet de règlement concernant l’examen professionnel supérieur de administrateur diplômé de biens immobiliers/ administratrice diplômée de biens immobiliers,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19 septembre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37 Cahier Numero Geschäftsnummer --- Numéro d'affaire Numero dell'oggetto Datum 19.09.2006 Date Data Seite 7188-7188 Page Pagina Ref. No 10 139 903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