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7154 2003-2487 vom 18. September 2003</w:t>
      </w:r>
    </w:p>
    <w:p>
      <w:r>
        <w:t>Bundesverwaltung, 2003-09-18, DE</w:t>
      </w:r>
    </w:p>
    <w:p>
      <w:r>
        <w:rPr>
          <w:b/>
        </w:rPr>
        <w:t xml:space="preserve">Quelle: </w:t>
      </w:r>
      <w:r>
        <w:t>https://mcp.opencaselaw.ch/entscheid/ch_vb_7154_2003-2487_</w:t>
      </w:r>
    </w:p>
    <w:p>
      <w:r>
        <w:t>FR: CH_VB 7154 2003-2487 du 18 septembre 2003</w:t>
      </w:r>
    </w:p>
    <w:p>
      <w:r>
        <w:t>IT: CH_VB 7154 2003-2487 del 18 settembre 2003</w:t>
      </w:r>
    </w:p>
    <w:p>
      <w:pPr>
        <w:pStyle w:val="Heading2"/>
      </w:pPr>
      <w:r>
        <w:t>Erwägungen</w:t>
      </w:r>
    </w:p>
    <w:p>
      <w:r>
        <w:rPr>
          <w:b/>
        </w:rPr>
        <w:t>E. 18</w:t>
      </w:r>
    </w:p>
    <w:p>
      <w:r>
        <w:t>septembre 2003 Schweizerische National Leben AG, Bottmingen</w:t>
      </w:r>
    </w:p>
    <w:p>
      <w:r>
        <w:rPr>
          <w:b/>
        </w:rPr>
        <w:t>E. 19</w:t>
      </w:r>
    </w:p>
    <w:p>
      <w:r>
        <w:t>septembre 2003 Société suisse d’Assurances générales sur la vie humaine, Zurich</w:t>
      </w:r>
    </w:p>
    <w:p>
      <w:r>
        <w:rPr>
          <w:b/>
        </w:rPr>
        <w:t>E. 23</w:t>
      </w:r>
    </w:p>
    <w:p>
      <w:r>
        <w:t>septembre 2003 Phenix Compagnie d’assurance sur la Vie, Lausanne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 décembre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2003 Année Anno Band 1 Volume Volume Heft 47 Cahier Numero Geschäftsnummer --- Numéro d'affaire Numero dell'oggetto Datum 02.12.2003 Date Data Seite 7154-7154 Page Pagina Ref. No 10 127 883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