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710 2005-3455 vom 18. Mai 2005</w:t>
      </w:r>
    </w:p>
    <w:p>
      <w:r>
        <w:t>Bundesverwaltung, 2005-05-18, DE</w:t>
      </w:r>
    </w:p>
    <w:p>
      <w:r>
        <w:rPr>
          <w:b/>
        </w:rPr>
        <w:t xml:space="preserve">Quelle: </w:t>
      </w:r>
      <w:r>
        <w:t>https://mcp.opencaselaw.ch/entscheid/ch_vb_710_2005-3455_</w:t>
      </w:r>
    </w:p>
    <w:p>
      <w:r>
        <w:t>FR: CH_VB 710 2005-3455 du 18 mai 2005</w:t>
      </w:r>
    </w:p>
    <w:p>
      <w:r>
        <w:t>IT: CH_VB 710 2005-3455 del 18 maggio 2005</w:t>
      </w:r>
    </w:p>
    <w:p>
      <w:pPr>
        <w:pStyle w:val="Heading2"/>
      </w:pPr>
      <w:r>
        <w:t>Erwägungen</w:t>
      </w:r>
    </w:p>
    <w:p>
      <w:r>
        <w:rPr>
          <w:b/>
        </w:rPr>
        <w:t>E. 1</w:t>
      </w:r>
    </w:p>
    <w:p>
      <w:r>
        <w:t>Caractéristiques du produit (pour tous les produits mentionnés) Substance(s) active(s): Schwefel 80,0 % Formulation: WP</w:t>
      </w:r>
    </w:p>
    <w:p>
      <w:r>
        <w:rPr>
          <w:b/>
        </w:rPr>
        <w:t>E. 2</w:t>
      </w:r>
    </w:p>
    <w:p>
      <w:r>
        <w:t>Arboriculture</w:t>
      </w:r>
    </w:p>
    <w:p>
      <w:r>
        <w:t>fruits à noyaux maladie criblée des Prunus effet secondaire: ériophyides libres concentration: 0.75 % application: avant la floraison</w:t>
      </w:r>
    </w:p>
    <w:p>
      <w:r>
        <w:rPr>
          <w:b/>
        </w:rPr>
        <w:t>E. 3</w:t>
      </w:r>
    </w:p>
    <w:p>
      <w:r>
        <w:t>fruits à pépins oïdium du pommier/du poirier effet partiel: tavelure des arbres fruitiers à pépins effet secondaire: ériophyides libres concentration: 0.75 % application: au débourre- ment</w:t>
      </w:r>
    </w:p>
    <w:p>
      <w:r>
        <w:t>fruits à pépins oïdium du pommier/du poirier effet partiel: tavelure des arbres fruitiers à pépins effet secondaire: ériophyides libres concentration: 0.5–0.75 % application: avant la floraison</w:t>
      </w:r>
    </w:p>
    <w:p>
      <w:r>
        <w:rPr>
          <w:b/>
        </w:rPr>
        <w:t>E. 4</w:t>
      </w:r>
    </w:p>
    <w:p>
      <w:r>
        <w:t>fruits à pépins oïdium du pommier/du poirier effet partiel: tavelure des arbres fruitiers à pépins effet secondaire: ériophyides libres concentration: 0.3–0.5 % application: après la floraison</w:t>
      </w:r>
    </w:p>
    <w:p>
      <w:r>
        <w:t>pêcher / nectarine oïdium du pêcher, tavelure noire du pêcher concentration: 0.3–0.5 % délai d’attente: 3 semaines application: après la floraison</w:t>
      </w:r>
    </w:p>
    <w:p>
      <w:r>
        <w:t>Viticulture</w:t>
      </w:r>
    </w:p>
    <w:p>
      <w:r>
        <w:t>toutes les cultures acariose de la vigne, érinose de la vigne concentration: 2 % application: pulvérisation au débourrement</w:t>
      </w:r>
    </w:p>
    <w:p>
      <w:r>
        <w:t>712 Domaine d’application Maladie/effets Mode d’application (*) toutes les cultures oïdium de la vigne concentration: 0.1–0.2 % délai d’attente: 3 semaines application: jusqu’à mi-août au plus tard</w:t>
      </w:r>
    </w:p>
    <w:p>
      <w:r>
        <w:rPr>
          <w:b/>
        </w:rPr>
        <w:t>E. 5</w:t>
      </w:r>
    </w:p>
    <w:p>
      <w:r>
        <w:t>toutes les cultures oïdium de la vigne concentration: 0.3–0.4 % délai d’attente: 3 semaines application: jusqu’à mi-août au plus tard 5,6 Culture maraîchère</w:t>
      </w:r>
    </w:p>
    <w:p>
      <w:r>
        <w:t>cucurbitacées oïdium des cucurbitacées concentration: 0.1–0.2 % délai d’attente: 3 jours</w:t>
      </w:r>
    </w:p>
    <w:p>
      <w:r>
        <w:t>tomate oïdium de la tomate concentration: 0.1–0.2 % délai d’attente: 3 jours</w:t>
      </w:r>
    </w:p>
    <w:p>
      <w:r>
        <w:t>Grande culture</w:t>
      </w:r>
    </w:p>
    <w:p>
      <w:r>
        <w:t>houblon oïdium du houblon concentration: 0.25 % délai d’attente: 1 semaine application: préventif dès 1 m de hauteur</w:t>
      </w:r>
    </w:p>
    <w:p>
      <w:r>
        <w:rPr>
          <w:b/>
        </w:rPr>
        <w:t>E. 7</w:t>
      </w:r>
    </w:p>
    <w:p>
      <w:r>
        <w:t>= 15 traitements au maximum à 7 jours d’intervalle environ.</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713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02 Cahier Numero Geschäftsnummer --- Numéro d'affaire Numero dell'oggetto Datum 17.01.2006 Date Data Seite 710-713 Page Pagina Ref. No</w:t>
      </w:r>
    </w:p>
    <w:p>
      <w:r>
        <w:rPr>
          <w:b/>
        </w:rPr>
        <w:t>E. 10</w:t>
      </w:r>
    </w:p>
    <w:p>
      <w:r>
        <w:t>139 250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