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7054 2002-2297 vom 12. November 2002</w:t>
      </w:r>
    </w:p>
    <w:p>
      <w:r>
        <w:t>Bundesverwaltung, 2002-11-12, DE</w:t>
      </w:r>
    </w:p>
    <w:p>
      <w:r>
        <w:rPr>
          <w:b/>
        </w:rPr>
        <w:t xml:space="preserve">Quelle: </w:t>
      </w:r>
      <w:r>
        <w:t>https://mcp.opencaselaw.ch/entscheid/ch_vb_7054_2002-2297</w:t>
      </w:r>
    </w:p>
    <w:p>
      <w:r>
        <w:t>FR: CH_VB 7054 2002-2297 du 12 novembre 2002</w:t>
      </w:r>
    </w:p>
    <w:p>
      <w:r>
        <w:t>IT: CH_VB 7054 2002-2297 del 12 novembre 2002</w:t>
      </w:r>
    </w:p>
    <w:p>
      <w:pPr>
        <w:pStyle w:val="Heading2"/>
      </w:pPr>
      <w:r>
        <w:t>Erwägungen</w:t>
      </w:r>
    </w:p>
    <w:p>
      <w:r>
        <w:rPr>
          <w:b/>
        </w:rPr>
        <w:t>E. 1</w:t>
      </w:r>
    </w:p>
    <w:p>
      <w:r>
        <w:t>RS 221.215.311</w:t>
      </w:r>
    </w:p>
    <w:p>
      <w:r>
        <w:rPr>
          <w:b/>
        </w:rPr>
        <w:t>E. 2</w:t>
      </w:r>
    </w:p>
    <w:p>
      <w:r>
        <w:t>Sur l’ensemble du territoire des cantons énumérés ci-après, l’extension s’applique à toutes entreprises et aux secteurs d’entreprises qui exécutent, les travaux figurant à l’al. 1: a. Fribourg: – Menuiserie, ébénisterie et charpenterie – Fabrication de meubles – Plâtrerie et peinture – Vitrerie / techniverrerie b. Jura et Jura bernois (district de Courtelary, La Neuveville et Moutier): – Menuiserie, ébénisterie et charpenterie – Vitrerie / techniverrerie c. Neuchâtel – Menuiserie, ébénisterie et charpenterie – Vitrerie / techniverrerie d. Valais – Menuiserie, ébénisterie et charpenterie – Plâtrerie et peinture – Vitrerie / techniverrerie e. Vaud – Menuiserie, ébénisterie et charpenterie – Plâtrerie et peinture – Vitrerie / techniverrerie – Autres travaux</w:t>
      </w:r>
    </w:p>
    <w:p>
      <w:r>
        <w:rPr>
          <w:b/>
        </w:rPr>
        <w:t>E. 3</w:t>
      </w:r>
    </w:p>
    <w:p>
      <w:r>
        <w:t>Le présent arrêté s’applique à tous les travailleurs employés dans les entreprises selon l’al. 2 (y compris les chefs d’équipe et les contremaître), indépendamment du mode de rémunération. Sont exclus les employés travaillant exclusivement dans les parties techniques et commerciales de l’entreprise, ainsi que les apprentis.</w:t>
      </w:r>
    </w:p>
    <w:p>
      <w:r>
        <w:rPr>
          <w:b/>
        </w:rPr>
        <w:t>E. 4</w:t>
      </w:r>
    </w:p>
    <w:p>
      <w:r>
        <w:t>Les clauses étendues, énumérées ci-après, s’appliquent aussi aux rapports de tra- vail entre les employeurs ayant leur siège à l’étranger, respectivement hors du champ d’application territorial décrit à l’al. 2 et leurs travailleurs et travailleuses, pour autant qu’ils remplissent les conditions posées par l’al. 3 et accomplissent des tra- vaux qui tombent sous le champ d’application selon l’al. 1: art. 13; art. 14; art. 15; art. 16; art. 17; art. 18; art. 19; art. 21; art. 22; art. 23; art. 24; art. 25 ch. 1 et 3; art. 26; art. 29; art. 31. Lorsque la durée de ces travaux, calculée sur une période de référence d’une année, dépasse deux mois, il y a lieu de contracter, pour ces rapports de travail, une assurance d’indemnité journalière en cas de maladie (perte de gain) selon l’art. 33 ou de prévoir, par accord écrit, une réglementation du paiement du</w:t>
      </w:r>
    </w:p>
    <w:p>
      <w:r>
        <w:t>Convention collective de travail romande du second oeuvre. ACF 7056 salaire en cas de maladie qui corresponde au minimum aux exigences de l’art. 324a du Code des obligations. Art. 3 Le présent arrêté entre en vigueur le 1er décembre 2002 et a effet jusqu’au 31 décembre 2003. 12 novembre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romande du second oeuvre In Bundesblatt Dans Feuille fédérale In Foglio federale Jahr 2002 Année Anno Band 1 Volume Volume Heft 47 Cahier Numero Geschäftsnummer --- Numéro d'affaire Numero dell'oggetto Datum 26.11.2002 Date Data Seite 7054-7056 Page Pagina Ref. No 10 126 796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