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7034 2003-2409 vom 4. November 2003</w:t>
      </w:r>
    </w:p>
    <w:p>
      <w:r>
        <w:t>Bundesverwaltung, 2003-11-04, DE</w:t>
      </w:r>
    </w:p>
    <w:p>
      <w:r>
        <w:rPr>
          <w:b/>
        </w:rPr>
        <w:t xml:space="preserve">Quelle: </w:t>
      </w:r>
      <w:r>
        <w:t>https://mcp.opencaselaw.ch/entscheid/ch_vb_7034_2003-2409_</w:t>
      </w:r>
    </w:p>
    <w:p>
      <w:r>
        <w:t>FR: CH_VB 7034 2003-2409 du 4 novembre 2003</w:t>
      </w:r>
    </w:p>
    <w:p>
      <w:r>
        <w:t>IT: CH_VB 7034 2003-2409 del 4 novembre 2003</w:t>
      </w:r>
    </w:p>
    <w:p>
      <w:pPr>
        <w:pStyle w:val="Heading2"/>
      </w:pPr>
      <w:r>
        <w:t>Erwägungen</w:t>
      </w:r>
    </w:p>
    <w:p>
      <w:r>
        <w:rPr>
          <w:b/>
        </w:rPr>
        <w:t>E. 1</w:t>
      </w:r>
    </w:p>
    <w:p>
      <w:r>
        <w:t>L’opposition n° 5579 contre la marque internationale n° 767 381 «THE RACE» (fig.) est close par classement.</w:t>
      </w:r>
    </w:p>
    <w:p>
      <w:r>
        <w:rPr>
          <w:b/>
        </w:rPr>
        <w:t>E. 2</w:t>
      </w:r>
    </w:p>
    <w:p>
      <w:r>
        <w:t>La taxe d’opposition reste entièrement acquise à l’Institut.</w:t>
      </w:r>
    </w:p>
    <w:p>
      <w:r>
        <w:rPr>
          <w:b/>
        </w:rPr>
        <w:t>E. 3</w:t>
      </w:r>
    </w:p>
    <w:p>
      <w:r>
        <w:t>Aucun dépens ne sont alloués aux parties.</w:t>
      </w:r>
    </w:p>
    <w:p>
      <w:r>
        <w:rPr>
          <w:b/>
        </w:rPr>
        <w:t>E. 4</w:t>
      </w:r>
    </w:p>
    <w:p>
      <w:r>
        <w:t>novembre 2003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5579 In Bundesblatt Dans Feuille fédérale In Foglio federale Jahr 2003 Année Anno Band 1 Volume Volume Heft 45 Cahier Numero Geschäftsnummer --- Numéro d'affaire Numero dell'oggetto Datum 18.11.2003 Date Data Seite 7034-7034 Page Pagina Ref. No 10 127 841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