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2004-1842 vom 14. Juni 1993</w:t>
      </w:r>
    </w:p>
    <w:p>
      <w:r>
        <w:t>Bundesverwaltung, 1993-06-14, DE</w:t>
      </w:r>
    </w:p>
    <w:p>
      <w:r>
        <w:rPr>
          <w:b/>
        </w:rPr>
        <w:t xml:space="preserve">Quelle: </w:t>
      </w:r>
      <w:r>
        <w:t>https://mcp.opencaselaw.ch/entscheid/ch_vb_68_2004-1842_</w:t>
      </w:r>
    </w:p>
    <w:p>
      <w:r>
        <w:t>FR: CH_VB 68 2004-1842 du 14 juin 1993</w:t>
      </w:r>
    </w:p>
    <w:p>
      <w:r>
        <w:t>IT: CH_VB 68 2004-1842 del 14 giugno 1993</w:t>
      </w:r>
    </w:p>
    <w:p>
      <w:pPr>
        <w:pStyle w:val="Heading2"/>
      </w:pPr>
      <w:r>
        <w:t>Volltext</w:t>
      </w:r>
    </w:p>
    <w:p>
      <w:r>
        <w:t>4468 2004-1842 Autorisation particulière de lever le secret professionnel à des fins de recherche dans les domaines de la médecine et de la santé publique La Commission d’experts du secret professionnel en matière de recherche médicale a, en séance plénière du 14 mai 2004 et par voie de circulation du 3 juin 2004, en se fondant sur les art. 321bis du code pénal suisse (CP ; RS 311.0) et 1, 2, 9, 10, 11 et 13 de l’ordonnance du 14 juin 1993 concernant les autorisations de lever le secret professionnel en matière de recherche médicale (OALSP ; RS 235.154), dans la cause Interassociation de sauvetage (IAS) «Etude sur la pertinence des décisions d’intervention de degré D1» concernant la demande d’autorisation particu- lière du 5 janvier 2004 pour la levée du secret professionnel à des fins de recherche dans les domaines de la médecine et de la santé publique au sens de l’art. 321bis CP, décidé: 1. Titulaire de l’autorisation a. Le Prof. Dr méd. Peter Matter, en tant que Président du Comité directeur de l’Interassociation de sauvetage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 tif à son obligation de garder le secret en application de l’art. 321bis CP. b. La secrétaire du responsable de l’étude est mise au bénéfice d’une autorisa- 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Elle est rendue attentive à son obligation de gar- der le secret en application de l’art. 321bis CP. 2. Objet de l’autorisation a. L’autorisation délie du secret professionnel les Centrales d’Appels Sanitaires Urgents (CASU), les services préhospitaliers qui collaborent avec lesdites CASU, les médecins des hôpitaux de destination et les médecins traitants envers les titulaires de l’autorisation pour l’obtention de données relatives aux patients ayant été pris en charge lors d’interventions de degré d’urgence 1 ordonnées par l’entremise du numéro 144, restés incapables de discerne- ment et dépourvus de représentant légal. b. L’octroi de l’autorisation n’engendre pour personne l’obligation de commu- niquer les données. 3. But de la communication des données Les données, protégées par le secret médical au sens de l’art. 321 CP, peuvent être transmises uniquement pour le projet de recherche «étude sur la pertinence des décisions d’intervention de degré D1».</w:t>
      </w:r>
    </w:p>
    <w:p>
      <w:r>
        <w:t>4469 4. Responsables de la protection des données communiquées Le Prof. Dr méd. Peter Matter est responsable de la protection des données commu- niquées. 5. Charges a. Pour la récolte des données, la première variante présentée par les deman- deurs ne peut être retenue. Les collaborateurs des différentes CASU censées récolter les données ne peuvent accéder aux données médicales non anony- mes détenues par les services préhospitaliers, par les hôpitaux de destination et par les médecins traitants. Certaines informations enregistrées sur ces fiches sont des données médicales protégées par le secret professionnel. Dès lors, l’adoption de la deuxième variante s’impose. Chaque intervenant envoie directement sa fiche au responsable de l’étude qui est le titulaire de l’autorisation. b. Les données non anonymes conservées sur support électronique sont proté- gées par un mot de passe. Les fiches sont conservées sous clé. Seuls le Directeur de projet et sa secrétaire peuvent y avoir accès. c. Les titulaires de l’autorisation sont tenus d’orienter par écrit les différents intervenants (les CASU, les services préhospitaliers qui collaborent avec lesdites CASU, les médecins des hôpitaux de destination et les médecins traitants des patients) sur l’étendue de l’autorisation accordée. Cette lettre doit être soumise pour approbation, aussitôt que possible, au Président de la Commission d’experts par l’intermédiaire de son secrétariat. 6. 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7. Communication et publication La présente décision est notifiée à Maître Christian Hänni, avocat au barreau de Neuchâtel, ainsi qu’au Préposé fédéral à la protection des données.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(téléphone 031 324 94 02). 7 septembre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(IAS) In Bundesblatt Dans Feuille fédérale In Foglio federale Jahr 2004 Année Anno Band 1 Volume Volume Heft 35 Cahier Numero Geschäftsnummer --- Numéro d'affaire Numero dell'oggetto Datum 07.09.2004 Date Data Seite 4468-4469 Page Pagina Ref. No 10 137 910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