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6754 2003-2339 vom 11. November 2003</w:t>
      </w:r>
    </w:p>
    <w:p>
      <w:r>
        <w:t>Bundesverwaltung, 2003-11-11, DE</w:t>
      </w:r>
    </w:p>
    <w:p>
      <w:r>
        <w:rPr>
          <w:b/>
        </w:rPr>
        <w:t xml:space="preserve">Quelle: </w:t>
      </w:r>
      <w:r>
        <w:t>https://mcp.opencaselaw.ch/entscheid/ch_vb_6754_2003-2339_</w:t>
      </w:r>
    </w:p>
    <w:p>
      <w:r>
        <w:t>FR: CH_VB 6754 2003-2339 du 11 novembre 2003</w:t>
      </w:r>
    </w:p>
    <w:p>
      <w:r>
        <w:t>IT: CH_VB 6754 2003-2339 del 11 novembre 2003</w:t>
      </w:r>
    </w:p>
    <w:p>
      <w:pPr>
        <w:pStyle w:val="Heading2"/>
      </w:pPr>
      <w:r>
        <w:t>Erwägungen</w:t>
      </w:r>
    </w:p>
    <w:p>
      <w:r>
        <w:rPr>
          <w:b/>
        </w:rPr>
        <w:t>E. 1</w:t>
      </w:r>
    </w:p>
    <w:p>
      <w:r>
        <w:t>Autorise l’opération de concentration notifiée par Edipresse Publications SA, Ringier SA et Le Nouveau Quotidien ERL SA le 9 juillet 2003.</w:t>
      </w:r>
    </w:p>
    <w:p>
      <w:r>
        <w:rPr>
          <w:b/>
        </w:rPr>
        <w:t>E. 2</w:t>
      </w:r>
    </w:p>
    <w:p>
      <w:r>
        <w:t>Assortit son autorisation des charges suivantes: a. Toute modification de la structure du capital et de la répartition des droits de vote au sein de la société «Le Nouveau Quotidien ERL SA» est soumise à l’autorisation préalable de la Commission de la concur- rence. b. Le Président du Conseil d’administration de la société «Le Nouveau Quotidien ERL SA» doit obligatoirement être une personne indépen- dante de ses actionnaires principaux. c. Tout accord futur de coopération passé entre les parties en relation avec leurs produits de médias en langue française distribués en Suisse, devra être annoncé préalablement à la Commission de la concurrence.</w:t>
      </w:r>
    </w:p>
    <w:p>
      <w:r>
        <w:t>6755 d. Les charges imposées par la Commission de la concurrence à la SA Le Temps dans sa décision Le Temps du 1er décembre 1997 (DPC 1998/1, p. 61, ch. 3a et 3b) restent valables en ce sens que : i) toute modification de la structure du capital et de la répartition des droits de vote de la société «Le Temps SA» est soumise à l’autorisation préalable de la Commission de la concurrence; ii) le Président du Conseil d’administration de la société «Le Temps SA» doit obligatoirement être une personne indépendante des ac- tionnaires principaux de la société «Le Nouveau Quotidien ERL SA».</w:t>
      </w:r>
    </w:p>
    <w:p>
      <w:r>
        <w:rPr>
          <w:b/>
        </w:rPr>
        <w:t>E. 3</w:t>
      </w:r>
    </w:p>
    <w:p>
      <w:r>
        <w:t>(Frais)</w:t>
      </w:r>
    </w:p>
    <w:p>
      <w:r>
        <w:rPr>
          <w:b/>
        </w:rPr>
        <w:t>E. 4</w:t>
      </w:r>
    </w:p>
    <w:p>
      <w:r>
        <w:t>(Voies de recours)</w:t>
      </w:r>
    </w:p>
    <w:p>
      <w:r>
        <w:rPr>
          <w:b/>
        </w:rPr>
        <w:t>E. 5</w:t>
      </w:r>
    </w:p>
    <w:p>
      <w:r>
        <w:t>(Notification) La Commission de la concurrence a estimé que la concentration pouvait être autori- sée, car elle ne modifie pas la situation concurrentielle sur le marché de la presse supra-régionale d’analyse en Suisse romande. Elle a toutefois assorti son autorisa- tion de diverses charges, visant d’une part à garantir l’indépendance de la société éditrice du Temps face à Edipresse et Ringier et d’autre part à maintenir la concur- rence actuelle et potentielle existant entre Edipresse et Ringier sur les marchés qui ne sont pas directement concernés par la concentration. 11 novembre 2003 Commission de la concurrence:</w:t>
      </w:r>
    </w:p>
    <w:p>
      <w:r>
        <w:t>Secrétariat</w:t>
      </w:r>
    </w:p>
    <w:p>
      <w:r>
        <w:t>Schweizerisches Bundesarchiv, Digitale Amtsdruckschriften Archives fédérales suisses, Publications officielles numérisées Archivio federale svizzero, Pubblicazioni ufficiali digitali Clôture de la procédure d'examen de l'opération de concentration Edipresse Publications SA / Ringier SA / Le Nouveau Quotidien ERL SA - Le Temps In Bundesblatt Dans Feuille fédérale In Foglio federale Jahr 2003 Année Anno Band 1 Volume Volume Heft 44 Cahier Numero Geschäftsnummer --- Numéro d'affaire Numero dell'oggetto Datum 11.11.2003 Date Data Seite 6754-6755 Page Pagina Ref. No</w:t>
      </w:r>
    </w:p>
    <w:p>
      <w:r>
        <w:rPr>
          <w:b/>
        </w:rPr>
        <w:t>E. 10</w:t>
      </w:r>
    </w:p>
    <w:p>
      <w:r>
        <w:t>127 827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