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6612 2005-3184 vom 18. Mai 2005</w:t>
      </w:r>
    </w:p>
    <w:p>
      <w:r>
        <w:t>Bundesverwaltung, 2005-05-18, DE</w:t>
      </w:r>
    </w:p>
    <w:p>
      <w:r>
        <w:rPr>
          <w:b/>
        </w:rPr>
        <w:t xml:space="preserve">Quelle: </w:t>
      </w:r>
      <w:r>
        <w:t>https://mcp.opencaselaw.ch/entscheid/ch_vb_6612_2005-3184_</w:t>
      </w:r>
    </w:p>
    <w:p>
      <w:r>
        <w:t>FR: CH_VB 6612 2005-3184 du 18 mai 2005</w:t>
      </w:r>
    </w:p>
    <w:p>
      <w:r>
        <w:t>IT: CH_VB 6612 2005-3184 del 18 maggio 2005</w:t>
      </w:r>
    </w:p>
    <w:p>
      <w:pPr>
        <w:pStyle w:val="Heading2"/>
      </w:pPr>
      <w:r>
        <w:t>Erwägungen</w:t>
      </w:r>
    </w:p>
    <w:p>
      <w:r>
        <w:rPr>
          <w:b/>
        </w:rPr>
        <w:t>E. 1</w:t>
      </w:r>
    </w:p>
    <w:p>
      <w:r>
        <w:t>Caractéristiques du produit (pour tous les produits mentionnés) Substance(s) active(s): Diazinon 230 g/l Formulation: EC</w:t>
      </w:r>
    </w:p>
    <w:p>
      <w:r>
        <w:rPr>
          <w:b/>
        </w:rPr>
        <w:t>E. 2</w:t>
      </w:r>
    </w:p>
    <w:p>
      <w:r>
        <w:t>Produits commerciaux Diacit E 25 Numéro d’homologation suisse: I-3793 pays d’origine: Italie numéro d’homologation étranger: 4253 distributeur: Sivam, Via Scarlatti 30, 20124 Milano Applications autorisées: Domaine d’application Maladie/effets Mode d’application (*) Arboriculture</w:t>
      </w:r>
    </w:p>
    <w:p>
      <w:r>
        <w:t>toutes les cultures carpocapse des pommes, poires et abricots, écidomyie des feuilles du poirier, cécidomyie des feuilles du pommier, cheimatobies, cochenille virgule, hyponomeutes, lécanium du cornouiller, noctuelles, psylle printa- nier du pommier, pucerons du feuillage [sans le puceron du pêcher], punaises des fruits, verdes jeunes fruits Concentration: 0.1 % Délai d’attente:</w:t>
      </w:r>
    </w:p>
    <w:p>
      <w:r>
        <w:rPr>
          <w:b/>
        </w:rPr>
        <w:t>E. 3</w:t>
      </w:r>
    </w:p>
    <w:p>
      <w:r>
        <w:t>Semaine(s) Application: après le semis; arroser 1 toutes les cultures altises, cécidomyie du chou, mouche de l’asperge, mouches blanches, psylle de la carotte, pucerons du feuillage, teigne du oireau, thrips Concentration: 0.1 % Délai d’attente: 2 Semaine(s) 1 toutes les cultures mouche de la carotte Concentration: 0.1 % Dosage: 0.5 l/mètre courant Délai d’attente:</w:t>
      </w:r>
    </w:p>
    <w:p>
      <w:r>
        <w:rPr>
          <w:b/>
        </w:rPr>
        <w:t>E. 6</w:t>
      </w:r>
    </w:p>
    <w:p>
      <w:r>
        <w:t>Semaine(s) Application: semis précoces mi-mai, semis tardifs de mi-août à fin août; une seule applica- tion; arroser. 1 Grande culture</w:t>
      </w:r>
    </w:p>
    <w:p>
      <w:r>
        <w:t>bettrave fouragère, bettrave sucrière mouche de la bettrave Concentration: 0.1 % Délai d’attente: 3 Semaine(s) 1 colza tenthrède de la rave Concentration: 0.1 % Délai d’attente: 3 Semaine(s) 1,2</w:t>
      </w:r>
    </w:p>
    <w:p>
      <w:r>
        <w:t>(*) Restrictions et remarques: 1 = Dangereux pour les abeilles: Ne doit pas entrer en contact avec des plantes en fleur ou exsudant du miellat (p.ex. cultures, enherbement, adventices, cultures environnantes, haies). 2 = Seulement contre les stades larvaires.</w:t>
      </w:r>
    </w:p>
    <w:p>
      <w:r>
        <w:t>6614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6612-6614 Page Pagina Ref. No</w:t>
      </w:r>
    </w:p>
    <w:p>
      <w:r>
        <w:rPr>
          <w:b/>
        </w:rPr>
        <w:t>E. 10</w:t>
      </w:r>
    </w:p>
    <w:p>
      <w:r>
        <w:t>139 138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