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6560 2002-1847 vom 11. Juni 2002</w:t>
      </w:r>
    </w:p>
    <w:p>
      <w:r>
        <w:t>Bundesverwaltung, 2002-06-11, DE</w:t>
      </w:r>
    </w:p>
    <w:p>
      <w:r>
        <w:rPr>
          <w:b/>
        </w:rPr>
        <w:t xml:space="preserve">Quelle: </w:t>
      </w:r>
      <w:r>
        <w:t>https://mcp.opencaselaw.ch/entscheid/ch_vb_6560_2002-1847</w:t>
      </w:r>
    </w:p>
    <w:p>
      <w:r>
        <w:t>FR: CH_VB 6560 2002-1847 du 11 juin 2002</w:t>
      </w:r>
    </w:p>
    <w:p>
      <w:r>
        <w:t>IT: CH_VB 6560 2002-1847 del 11 giugno 2002</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 tune, y compris les impôts sur les gains provenant de l’aliénation de biens mobiliers ou immobiliers, ainsi que les impôts sur les plus-values.</w:t>
      </w:r>
    </w:p>
    <w:p>
      <w:r>
        <w:rPr>
          <w:b/>
        </w:rPr>
        <w:t>E. 3</w:t>
      </w:r>
    </w:p>
    <w:p>
      <w:r>
        <w:t>Les impôts actuels auxquels s’applique la Convention sont notamment: a) en Estonie: l’impôt sur le revenu (tulumaks) (ci-après désigné par «impôt estonien»); b) en Suisse: les impôts fédéraux, cantonaux et communaux (i) sur le revenu (revenu total, produit du travail, rendement de la fortune, bénéfices industriels et commerciaux, gains en capital et autres reve- nus), et</w:t>
      </w:r>
    </w:p>
    <w:p>
      <w:r>
        <w:t>1 Traduction du texte original allemand.</w:t>
      </w:r>
    </w:p>
    <w:p>
      <w:r>
        <w:t>Doubles impositions. Conv. avec la République d’Estonie 6561 (ii) sur la fortune (fortune totale, fortune mobilière et immobilière, fortune industrielle et commerciale, capital et réserves et autres éléments de la fortune) (ci-après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importantes apportées à leurs législa- 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w:t>
      </w:r>
    </w:p>
    <w:p>
      <w:r>
        <w:t>Doubles impositions. Conv. avec la République d’Estonie 6564 installation fixe d’affaires, ne permettraient pas de considérer cette installation comme un établissement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Toutefois, si l’activité d’un tel agent est exercée exclusivement ou presque exclusivement pour le compte de cette entreprise et si les conditions convenues entre l’agent et l’entreprise s’écartent de celles que conviendraient des tiers indépendants, l’agent n’est pas considéré comme un agent jouissant d’un statut indépendant au sens du présent paragraphe. Dans ce cas, les dispositions du par. 5 sont applicables.</w:t>
      </w:r>
    </w:p>
    <w:p>
      <w:r>
        <w:rPr>
          <w:b/>
        </w:rPr>
        <w:t>E. 7</w:t>
      </w:r>
    </w:p>
    <w:p>
      <w:r>
        <w:t>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d’une entreprise d’un Etat contractant provenant de l’exploitation, en trafic international, de navires ou d’aéronefs ne sont imposables que dans cet Etat contractant. 2. Les dispositions du par. 1 s’appliquent aussi aux bénéfices provenant de la parti- cipation à un pool, une exploitation en commun ou un organisme international d’exploitation. Art. 9 Entreprises associées 1. Lorsque a) une entreprise d’un Etat contractant participe directement ou indirectement à la direction, au contrôle ou au capital d’une entreprise de l’autre Etat con- tractant, ou que b) les mêmes personnes participent directement ou indirectement à la direction, au contrôle ou au capital d’une entreprise d’un Etat contractant et d’une entreprise de l’autre Etat contractant,</w:t>
      </w:r>
    </w:p>
    <w:p>
      <w:r>
        <w:t>Doubles impositions. Conv. avec la République d’Estonie 6566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également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 tractants peuvent se consulter en vue de parvenir à un accord sur les ajustements aux bénéfices dans l’un ou dans les deux Etats contractants.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le bénéficiaire effectif des dividendes est un résident de l’autre Etat contrac- tant, l’impôt ainsi établi ne peut excéder: a) 5 pour cent du montant brut des dividendes si le bénéficiaire effectif est une société (autre qu’une société de personnes) qui détient directement au moins 20 pour cent du capital de la société qui paie les dividendes; b) 15 pour cent du montant brut des dividendes, dans tous les autres cas. Le présent paragraphe n’affecte pas l’imposition de la société au titre des bénéfices qui servent au paiement des dividendes. 3. Le terme «dividendes» employé dans le présent article désigne les revenus prove- nant d’actions ou autres parts bénéficiaires à l’exception des créances, ainsi que les revenus d’autres parts sociales soumis au même régime fiscal que les revenus d’actions par la législation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 pation génératrice des dividendes s’y rattache effectivement. Dans ce cas, les dispo- 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 trice des dividendes se rattache effectivement à un établissement stable ou à une</w:t>
      </w:r>
    </w:p>
    <w:p>
      <w:r>
        <w:t>Doubles impositions. Conv. avec la République d’Estonie 6567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 viennent et selon la législation de cet Etat, mais si le bénéficiaire effectif des intérêts est un résident de l’autre Etat contractant, l’impôt ainsi établi ne peut excéder</w:t>
      </w:r>
    </w:p>
    <w:p>
      <w:r>
        <w:rPr>
          <w:b/>
        </w:rPr>
        <w:t>E. 10</w:t>
      </w:r>
    </w:p>
    <w:p>
      <w:r>
        <w:t>126 732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