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2006-3196 vom 18. Mai 2005</w:t>
      </w:r>
    </w:p>
    <w:p>
      <w:r>
        <w:t>Bundesverwaltung, 2005-05-18, DE</w:t>
      </w:r>
    </w:p>
    <w:p>
      <w:r>
        <w:rPr>
          <w:b/>
        </w:rPr>
        <w:t xml:space="preserve">Quelle: </w:t>
      </w:r>
      <w:r>
        <w:t>https://mcp.opencaselaw.ch/entscheid/ch_vb_64_2006-3196_</w:t>
      </w:r>
    </w:p>
    <w:p>
      <w:r>
        <w:t>FR: CH_VB 64 2006-3196 du 18 mai 2005</w:t>
      </w:r>
    </w:p>
    <w:p>
      <w:r>
        <w:t>IT: CH_VB 64 2006-3196 del 18 maggio 2005</w:t>
      </w:r>
    </w:p>
    <w:p>
      <w:pPr>
        <w:pStyle w:val="Heading2"/>
      </w:pPr>
      <w:r>
        <w:t>Erwägungen</w:t>
      </w:r>
    </w:p>
    <w:p>
      <w:r>
        <w:rPr>
          <w:b/>
        </w:rPr>
        <w:t>E. 1</w:t>
      </w:r>
    </w:p>
    <w:p>
      <w:r>
        <w:t>Caractéristiques du produit (pour tous les produits mentionnés) Substance(s) active(s): Dimethoate 400 g/l Formulation: EC</w:t>
      </w:r>
    </w:p>
    <w:p>
      <w:r>
        <w:rPr>
          <w:b/>
        </w:rPr>
        <w:t>E. 2</w:t>
      </w:r>
    </w:p>
    <w:p>
      <w:r>
        <w:t>= Première génération.</w:t>
      </w:r>
    </w:p>
    <w:p>
      <w:r>
        <w:rPr>
          <w:b/>
        </w:rPr>
        <w:t>E. 3</w:t>
      </w:r>
    </w:p>
    <w:p>
      <w:r>
        <w:t>= Lors de l’application en cultures sous abri, porter des vêtements de protection et un masque.</w:t>
      </w:r>
    </w:p>
    <w:p>
      <w:r>
        <w:rPr>
          <w:b/>
        </w:rPr>
        <w:t>E. 4</w:t>
      </w:r>
    </w:p>
    <w:p>
      <w:r>
        <w:t>= Répéter le traitement après une semaine.</w:t>
      </w:r>
    </w:p>
    <w:p>
      <w:r>
        <w:rPr>
          <w:b/>
        </w:rPr>
        <w:t>E. 5</w:t>
      </w:r>
    </w:p>
    <w:p>
      <w:r>
        <w:t>= Les praticiens doivent être rendus attentifs au fait qu’il est interdit de traiter les cultures de haricots de plein champ pendant la floraison, ainsi que les champs fortement envahis par les adventices et visités par les abeilles avant la floraison des haricots. Les mesures de précaution et les délais d’attente doivent être clairement indiqués sur les emballages, les prospectus et dans toutes les autres recommandations. En cas de traitement en grand, il y a lieu d’informer les représentants des organisations d’apiculteurs.</w:t>
      </w:r>
    </w:p>
    <w:p>
      <w:r>
        <w:rPr>
          <w:b/>
        </w:rPr>
        <w:t>E. 6</w:t>
      </w:r>
    </w:p>
    <w:p>
      <w:r>
        <w:t>= Souches non résistantes.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9064-9066 Page Pagina Ref. No</w:t>
      </w:r>
    </w:p>
    <w:p>
      <w:r>
        <w:rPr>
          <w:b/>
        </w:rPr>
        <w:t>E. 10</w:t>
      </w:r>
    </w:p>
    <w:p>
      <w:r>
        <w:t>140 150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