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2004-2760 vom 26. November 2004</w:t>
      </w:r>
    </w:p>
    <w:p>
      <w:r>
        <w:t>Bundesverwaltung, 2004-11-26, DE</w:t>
      </w:r>
    </w:p>
    <w:p>
      <w:r>
        <w:rPr>
          <w:b/>
        </w:rPr>
        <w:t xml:space="preserve">Quelle: </w:t>
      </w:r>
      <w:r>
        <w:t>https://mcp.opencaselaw.ch/entscheid/ch_vb_64_2004-2760_</w:t>
      </w:r>
    </w:p>
    <w:p>
      <w:r>
        <w:t>FR: CH_VB 64 2004-2760 du 26 novembre 2004</w:t>
      </w:r>
    </w:p>
    <w:p>
      <w:r>
        <w:t>IT: CH_VB 64 2004-2760 del 26 novembre 2004</w:t>
      </w:r>
    </w:p>
    <w:p>
      <w:pPr>
        <w:pStyle w:val="Heading2"/>
      </w:pPr>
      <w:r>
        <w:t>Volltext</w:t>
      </w:r>
    </w:p>
    <w:p>
      <w:r>
        <w:t>6764 2004-2760 Transposition de la directive de transparence pour la prévoyance professionnelle (art. 36, let. c, de la loi fédérale sur la procédure administrative; RS 172.021) L’Office fédéral des assurances privées a approuvé les décisions suivants: Décisions du</w:t>
      </w:r>
    </w:p>
    <w:p>
      <w:r>
        <w:t>26 novembre 2004 Schweizerische National Leben AG, Bottmingen 8 décembre 2004 Phenix, compagnie d’assurance sur la vie, Lausanne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21 décembre 2004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2004 Année Anno Band 1 Volume Volume Heft 50 Cahier Numero Geschäftsnummer 72.021 Numéro d'affaire Numero dell'oggetto Datum 21.12.2004 Date Data Seite 6764-6764 Page Pagina Ref. No 10 138 251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