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6164 2005-2799 vom 1. November 2005</w:t>
      </w:r>
    </w:p>
    <w:p>
      <w:r>
        <w:t>Bundesverwaltung, 2005-11-01, DE</w:t>
      </w:r>
    </w:p>
    <w:p>
      <w:r>
        <w:rPr>
          <w:b/>
        </w:rPr>
        <w:t xml:space="preserve">Quelle: </w:t>
      </w:r>
      <w:r>
        <w:t>https://mcp.opencaselaw.ch/entscheid/ch_vb_6164_2005-2799_</w:t>
      </w:r>
    </w:p>
    <w:p>
      <w:r>
        <w:t>FR: CH_VB 6164 2005-2799 du 1 novembre 2005</w:t>
      </w:r>
    </w:p>
    <w:p>
      <w:r>
        <w:t>IT: CH_VB 6164 2005-2799 del 1 novembre 2005</w:t>
      </w:r>
    </w:p>
    <w:p>
      <w:pPr>
        <w:pStyle w:val="Heading2"/>
      </w:pPr>
      <w:r>
        <w:t>Volltext</w:t>
      </w:r>
    </w:p>
    <w:p>
      <w:r>
        <w:t>6164 2005-2799 Exécution de la loi fédérale sur la formation professionnelle La Fédération Suisse des Agences de Voyage (FSAV), Fédération suisse du tou- risme (FST), Remontées Mécaniques Suisses (RMS), Swiss Snowsports, Union des transports publics (UTP), Association suisse des managers en tourisme (ASMT) et Association des experts en tourisme diplômés (TOUREX) ont déposé un change- ment de projet de règlement concernant l’examen professionnel supérieur de expert diplômé en tourisme/experte diplômée en tourisme, conformément à l’art. 28, al. 2, de la loi fédérale du 13 décembre 2002 sur la formation professionnelle (RS 412.10) et à l’art.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1er novembre 2005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2005 Année Anno Band 1 Volume Volume Heft 43 Cahier Numero Geschäftsnummer --- Numéro d'affaire Numero dell'oggetto Datum 01.11.2005 Date Data Seite 6164-6164 Page Pagina Ref. No 10 139 027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