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5968 2001-2561 vom 23. Juni 1999</w:t>
      </w:r>
    </w:p>
    <w:p>
      <w:r>
        <w:t>Bundesverwaltung, 1999-06-23, DE</w:t>
      </w:r>
    </w:p>
    <w:p>
      <w:r>
        <w:rPr>
          <w:b/>
        </w:rPr>
        <w:t xml:space="preserve">Quelle: </w:t>
      </w:r>
      <w:r>
        <w:t>https://mcp.opencaselaw.ch/entscheid/ch_vb_5968_2001-2561</w:t>
      </w:r>
    </w:p>
    <w:p>
      <w:r>
        <w:t>FR: CH_VB 5968 2001-2561 du 23 juin 1999</w:t>
      </w:r>
    </w:p>
    <w:p>
      <w:r>
        <w:t>IT: CH_VB 5968 2001-2561 del 23 giugno 1999</w:t>
      </w:r>
    </w:p>
    <w:p>
      <w:pPr>
        <w:pStyle w:val="Heading2"/>
      </w:pPr>
      <w:r>
        <w:t>Erwägungen</w:t>
      </w:r>
    </w:p>
    <w:p>
      <w:r>
        <w:rPr>
          <w:b/>
        </w:rPr>
        <w:t>E. 1</w:t>
      </w:r>
    </w:p>
    <w:p>
      <w:r>
        <w:t>Caractéristiques du produit (pour tous les produits mentionnés) Substance(s) active(s): Fosethyl-Aluminium 80% Formulation: WP</w:t>
      </w:r>
    </w:p>
    <w:p>
      <w:r>
        <w:rPr>
          <w:b/>
        </w:rPr>
        <w:t>E. 2</w:t>
      </w:r>
    </w:p>
    <w:p>
      <w:r>
        <w:t>Produits commerciaux Alstar Numéro d’homologation suisse: I-3503 pays d’origine: Italie numéro d’homologation étranger: 4709 distributeur: Aventis Cropscience Italia, Piazzale Stefano Türr 5, I-20149 Milano Alter Numéro d’homologation suisse: I-3504 pays d’origine: Italie numéro d’homologation étranger: 9739 distributeur: Terranalisi, Via Donizetti 2/A, I-44042 Cento Alytec Numéro d’homologation suisse: I-3505 pays d’origine: Italie numéro d’homologation étranger: 9842 distributeur: Tecniterra, Via Bronzio 19, I-20133 Milano Contender Numéro d’homologation suisse: I-3506 pays d’origine: Italie numéro d’homologation étranger: 9964 distributeur: Chimiberg, Via Tonale 15, I-24061 Albano S.Alessandro</w:t>
      </w:r>
    </w:p>
    <w:p>
      <w:r>
        <w:t>1 RS 916.161</w:t>
      </w:r>
    </w:p>
    <w:p>
      <w:r>
        <w:t>Décision de portée générale – produits phytosanitaires 5969 Elios Numéro d’homologation suisse: I-3507 pays d’origine: Italie numéro d’homologation étranger: 10409 distributeur: Sipcam, Via Sempione 195, I-20016 Pero Fos.al Numéro d’homologation suisse: I-3508 pays d’origine: Italie numéro d’homologation étranger: 10259 distributeur: Guaber, Via E.Mattei 4, I-40050 Castello d’Argile Fosetil Sar Numéro d’homologation suisse: I-3609 pays d’origine: Italie numéro d’homologation étranger: 9891 distributeur: Sariaf, Via San Silvestro 1, I-48018 Faenza MAC Fosethyl 80 WP Numéro d’homologation suisse: A-3505 pays d’origine: Autriche numéro d’homologation étranger: 2139 distributeur: MAC GmbH., Sonnenhalde 1, D-88138 Sigmarszell Applications autorisées: Domaine d’application Maladie / effets Mode d’application Charges et remarques Arboriculture fraises coeur brun, maladie des racines Concentration: 0.5–0.75% 1, 2 rouges du fraisier Dosage: 5–7.5 kg/ha Application: pulvériser ou arroser poirier Effet partiel: bactériose du concombre Concentration: 0.3% Dosage: 4.8 kg/ha Application: traitement du stade bourgeon jusqu’à la fin floraison Culture maraîchère cucurbitacées mildiou du concombre Concentration: 0.2% Dosage: 2–4 kg/ha Délai d’attente: 3 jours laitues pommées mildiou de la laitue Dosage: 2 kg/ha Délai d’attente: 3 semaines</w:t>
      </w:r>
    </w:p>
    <w:p>
      <w:r>
        <w:t>Décision de portée générale – produits phytosanitaires 5970 Domaine d’application Maladie / effets Mode d’application Charges et remarques Culture ornementale toutes les cultures champignons pathogènes du sol Concentration: 0.2–0.3% (fonte ou toile des semis), mildiou [Peronospora, Albugo, Bremia] Application: pulvériser Concentration: 0.5% Application: arroser 1 Avant la floraison et après la récolte uniquement.</w:t>
      </w:r>
    </w:p>
    <w:p>
      <w:r>
        <w:rPr>
          <w:b/>
        </w:rPr>
        <w:t>E. 4</w:t>
      </w:r>
    </w:p>
    <w:p>
      <w:r>
        <w:t>traitements par année au maximum. Stockage et élimination Le produit doit être conservé dans l’emballage original, à l’écart des denrées alimentaires, des aliments pour animaux et des médicaments, de façon à ne pas être accessible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11 décembre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49 Cahier Numero Geschäftsnummer --- Numéro d'affaire Numero dell'oggetto Datum 11.12.2001 Date Data Seite 5968-5970 Page Pagina Ref. No 10 125 849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