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2008-0721 vom 18. März 2008</w:t>
      </w:r>
    </w:p>
    <w:p>
      <w:r>
        <w:t>Bundesverwaltung, 2008-03-18, DE</w:t>
      </w:r>
    </w:p>
    <w:p>
      <w:r>
        <w:rPr>
          <w:b/>
        </w:rPr>
        <w:t xml:space="preserve">Quelle: </w:t>
      </w:r>
      <w:r>
        <w:t>https://mcp.opencaselaw.ch/entscheid/ch_vb_58_2008-0721_</w:t>
      </w:r>
    </w:p>
    <w:p>
      <w:r>
        <w:t>FR: CH_VB 58 2008-0721 du 18 mars 2008</w:t>
      </w:r>
    </w:p>
    <w:p>
      <w:r>
        <w:t>IT: CH_VB 58 2008-0721 del 18 marzo 2008</w:t>
      </w:r>
    </w:p>
    <w:p>
      <w:pPr>
        <w:pStyle w:val="Heading2"/>
      </w:pPr>
      <w:r>
        <w:t>Volltext</w:t>
      </w:r>
    </w:p>
    <w:p>
      <w:r>
        <w:t>1758 2008-0721 Exécution de la loi fédérale sur la formation professionnelle L’Association Suisse des Maîtres ramoneurs (ASMR) a déposé un projet de règle- ment concernant l’examen professionnel supérieur de Maître ramoneur/Maître ramoneuse,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mars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11 Cahier Numero Geschäftsnummer --- Numéro d'affaire Numero dell'oggetto Datum 18.03.2008 Date Data Seite 1758-1758 Page Pagina Ref. No 10 141 552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