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5824 2003-1986 vom 11. September 2003</w:t>
      </w:r>
    </w:p>
    <w:p>
      <w:r>
        <w:t>Bundesverwaltung, 2003-09-11, DE</w:t>
      </w:r>
    </w:p>
    <w:p>
      <w:r>
        <w:rPr>
          <w:b/>
        </w:rPr>
        <w:t xml:space="preserve">Quelle: </w:t>
      </w:r>
      <w:r>
        <w:t>https://mcp.opencaselaw.ch/entscheid/ch_vb_5824_2003-1986</w:t>
      </w:r>
    </w:p>
    <w:p>
      <w:r>
        <w:t>FR: CH_VB 5824 2003-1986 du 11 septembre 2003</w:t>
      </w:r>
    </w:p>
    <w:p>
      <w:r>
        <w:t>IT: CH_VB 5824 2003-1986 del 11 settembre 2003</w:t>
      </w:r>
    </w:p>
    <w:p>
      <w:pPr>
        <w:pStyle w:val="Heading2"/>
      </w:pPr>
      <w:r>
        <w:t>Volltext</w:t>
      </w:r>
    </w:p>
    <w:p>
      <w:r>
        <w:t>5824 2003-1986 Approbation du tarif d’institution d’assurance privée (art. 46, al. 3, de la loi du 23 juin 1978 sur la surveillance des assurances, RS 961.01) L’Office fédéral des assurances privées a approuvé les tarifs suivants, qui concernent des contrats d’assurance en cours: Décision du Tarif so umis par 27 mars 2003 Providentia Société Suisse d’Assurances sur la Vie, Nyon 11 septembre 2003 Zenith Vie, Pully 16 septembre 2003 Generali Personenversicherungen, Adliswil 17 septembre 2003 Allianz Suisse Société d’Assurances sur la Vie, Zurich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30 septembre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2003 Année Anno Band 1 Volume Volume Heft 38 Cahier Numero Geschäftsnummer --- Numéro d'affaire Numero dell'oggetto Datum 30.09.2003 Date Data Seite 5824-5824 Page Pagina Ref. No 10 127 674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