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5652 2003-1878 vom 16. September 2003</w:t>
      </w:r>
    </w:p>
    <w:p>
      <w:r>
        <w:t>Bundesverwaltung, 2003-09-16, DE</w:t>
      </w:r>
    </w:p>
    <w:p>
      <w:r>
        <w:rPr>
          <w:b/>
        </w:rPr>
        <w:t xml:space="preserve">Quelle: </w:t>
      </w:r>
      <w:r>
        <w:t>https://mcp.opencaselaw.ch/entscheid/ch_vb_5652_2003-1878</w:t>
      </w:r>
    </w:p>
    <w:p>
      <w:r>
        <w:t>FR: CH_VB 5652 2003-1878 du 16 septembre 2003</w:t>
      </w:r>
    </w:p>
    <w:p>
      <w:r>
        <w:t>IT: CH_VB 5652 2003-1878 del 16 settembre 2003</w:t>
      </w:r>
    </w:p>
    <w:p>
      <w:pPr>
        <w:pStyle w:val="Heading2"/>
      </w:pPr>
      <w:r>
        <w:t>Volltext</w:t>
      </w:r>
    </w:p>
    <w:p>
      <w:r>
        <w:t>5652 2003-1878 Exécution de la loi fédérale sur la formation professionnelle L’Association Suisse des consultants financiers privés a déposé un projet de règle- ment concernant l’examen professionnel de consultant/consultante en patrimoine et prévoyance, conformément à l’art. 51 de la loi fédérale du 19 avril 1978 sur la for- mation professionnelle (RS 412.10) et à l’art. 45, al. 2, de son ordonnance d’exé- cution du 7 novembre 1979 (RS 412.101). L’Association suisse des gardes-faune (ASGF) a déposé un projet de règlement con- cernant l’examen professionnel des gardes-faune, conformément à l’art. 51 de la loi fédérale du 19 avril 1978 sur la formation professionnelle (RS 412.10) et à l’art. 45, al. 2, de son ordonnance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16 septembre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36 Cahier Numero Geschäftsnummer --- Numéro d'affaire Numero dell'oggetto Datum 16.09.2003 Date Data Seite 5652-5652 Page Pagina Ref. No 10 127 629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