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5600 2007-1816 vom 31. Juli 2007</w:t>
      </w:r>
    </w:p>
    <w:p>
      <w:r>
        <w:t>Bundesverwaltung, 2007-07-31, DE</w:t>
      </w:r>
    </w:p>
    <w:p>
      <w:r>
        <w:rPr>
          <w:b/>
        </w:rPr>
        <w:t xml:space="preserve">Quelle: </w:t>
      </w:r>
      <w:r>
        <w:t>https://mcp.opencaselaw.ch/entscheid/ch_vb_5600_2007-1816_</w:t>
      </w:r>
    </w:p>
    <w:p>
      <w:r>
        <w:t>FR: CH_VB 5600 2007-1816 du 31 juillet 2007</w:t>
      </w:r>
    </w:p>
    <w:p>
      <w:r>
        <w:t>IT: CH_VB 5600 2007-1816 del 31 luglio 2007</w:t>
      </w:r>
    </w:p>
    <w:p>
      <w:pPr>
        <w:pStyle w:val="Heading2"/>
      </w:pPr>
      <w:r>
        <w:t>Volltext</w:t>
      </w:r>
    </w:p>
    <w:p>
      <w:r>
        <w:t>5600 2007-1816 Exécution de la loi fédérale sur la formation professionnelle L’Association suisse et liechtensteinoise de la Technique du bâtiment (suissetec) a déposé un projet de règlement concernant l’examen professionnel supérieur des projeteur sanitaire avec diplôme fédéral/projeteuse sanitaire avec diplôme fédéral, conformément à l’art. 28, al. 2, de la loi fédérale du 13 décembre 2002 sur la forma- tion professionnelle (RS 412.10) et à l’art. 25 et 26 de son ordonnance d’exécution du 19 novembre 2003 (RS 412.101). L’Association suisse et liechtensteinoise de la Technique du bâtiment (suissetec) a déposé une modification de projet de règlement concernant l’examen professionnel des contremaître en chauffage et chef de projet en chauffage, conformément à l’art. 28, al. 2, de la loi fédérale du 13 décembre 2002 sur la formation profes- sionnelle (RS 412.10) et à l’art. 25 et 26 de son ordonnance d’exécution du 19 novembre 2003 (RS 412.101). L’Association suisse et liechtensteinoise de la Technique du bâtiment (suissetec) a déposé une modification de projet de règlement concernant l’examen professionnel des contremaître sanitaire et chef de projet en sanitaire, conformément à l’art. 28, al. 2, de la loi fédérale du 13 décembre 2002 sur la formation professionnelle (RS 412.10) et à l’art. 25 et 26 de son ordonnance d’exécution du 19 novembre 2003 (RS 412.101). L’organisation faîtière pour l’examen professionnel supérieur d’expert fiduciaire composée des membres suivants: Société Suisse des Employés de Commerce, Union Suisse des Fiduciaires (USF) a déposé un projet de règlement concernant l’examen professionnel supérieur d’expert fiduciaire diplômé/experte fiduciaire diplômée, conformément à l’art. 28, al. 2, de la loi fédérale du 13 décembre 2002 sur la forma- 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31 juillet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31 Cahier Numero Geschäftsnummer --- Numéro d'affaire Numero dell'oggetto Datum 31.07.2007 Date Data Seite 5600-5600 Page Pagina Ref. No 10 140 821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