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50 2006-3257 vom 18. Mai 2005</w:t>
      </w:r>
    </w:p>
    <w:p>
      <w:r>
        <w:t>Bundesverwaltung, 2005-05-18, DE</w:t>
      </w:r>
    </w:p>
    <w:p>
      <w:r>
        <w:rPr>
          <w:b/>
        </w:rPr>
        <w:t xml:space="preserve">Quelle: </w:t>
      </w:r>
      <w:r>
        <w:t>https://mcp.opencaselaw.ch/entscheid/ch_vb_50_2006-3257_</w:t>
      </w:r>
    </w:p>
    <w:p>
      <w:r>
        <w:t>FR: CH_VB 50 2006-3257 du 18 mai 2005</w:t>
      </w:r>
    </w:p>
    <w:p>
      <w:r>
        <w:t>IT: CH_VB 50 2006-3257 del 18 maggio 2005</w:t>
      </w:r>
    </w:p>
    <w:p>
      <w:pPr>
        <w:pStyle w:val="Heading2"/>
      </w:pPr>
      <w:r>
        <w:t>Erwägungen</w:t>
      </w:r>
    </w:p>
    <w:p>
      <w:r>
        <w:rPr>
          <w:b/>
        </w:rPr>
        <w:t>E. 1</w:t>
      </w:r>
    </w:p>
    <w:p>
      <w:r>
        <w:t>Caractéristiques du produit (pour tous les produits mentionnés) Substance(s) active(s): Teflubenzuron 150 g/l Formulation: SC</w:t>
      </w:r>
    </w:p>
    <w:p>
      <w:r>
        <w:rPr>
          <w:b/>
        </w:rPr>
        <w:t>E. 2</w:t>
      </w:r>
    </w:p>
    <w:p>
      <w:r>
        <w:t>Produits commerciaux Nomolt Numéro d’homologation suisse: D-3824 pays d’origine: Allemagne numéro d’homologation étranger: 3719-00 distributeur: BASF Aktiengesellschaft, Länderbereich Deutschland, Postfach 120, 67114 Limburgerhof Applications autorisées: Domaine d’application Organisme nuisible / effets Application (*) Arboriculture</w:t>
      </w:r>
    </w:p>
    <w:p>
      <w:r>
        <w:t>toutes cultures carpocapses, chenilles de noctuelles, phalènes hiémales, mineuse des arbres fruitiers, mineuse sinueuse concentration: 0.04 % délai d’attente: 3 semaines</w:t>
      </w:r>
    </w:p>
    <w:p>
      <w:r>
        <w:t>Poirier psylle du poirier concentration: 0.1 % 1, 2 Viticulture</w:t>
      </w:r>
    </w:p>
    <w:p>
      <w:r>
        <w:t>toutes cultures vers de la grappe concentration: 0.05 % dosage: 0.6 l/ha délai d’attente: 3 semaines</w:t>
      </w:r>
    </w:p>
    <w:p>
      <w:r>
        <w:rPr>
          <w:b/>
        </w:rPr>
        <w:t>E. 3</w:t>
      </w:r>
    </w:p>
    <w:p>
      <w:r>
        <w:t>Culture maraîchère</w:t>
      </w:r>
    </w:p>
    <w:p>
      <w:r>
        <w:t>serre: aubergines, tomates doryphore concentration: 0.03 % délai d’attente: 3 jours</w:t>
      </w:r>
    </w:p>
    <w:p>
      <w:r>
        <w:t>serre: aubergines, tomates thrips californien concentration: 0.2 % délai d’attente: 3 jours</w:t>
      </w:r>
    </w:p>
    <w:p>
      <w:r>
        <w:t>1 RS 916.161</w:t>
      </w:r>
    </w:p>
    <w:p>
      <w:r>
        <w:t>9351 Domaine d’application Organisme nuisible / effets Application (*) choux piérides dosage: 0.3 l/ha délai d’attente: 2 semaines</w:t>
      </w:r>
    </w:p>
    <w:p>
      <w:r>
        <w:t>Grandes cultures</w:t>
      </w:r>
    </w:p>
    <w:p>
      <w:r>
        <w:t>céréales Criocère des céréales: dosage: 0.4 l/ha délai d’attente: 6 semaines</w:t>
      </w:r>
    </w:p>
    <w:p>
      <w:r>
        <w:rPr>
          <w:b/>
        </w:rPr>
        <w:t>E. 4</w:t>
      </w:r>
    </w:p>
    <w:p>
      <w:r>
        <w:t>= appliquer seulement contre les jeunes larves</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51 Cahier Numero Geschäftsnummer --- Numéro d'affaire Numero dell'oggetto Datum 27.12.2006 Date Data Seite 9350-9351 Page Pagina Ref. No 10 140 209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