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2008-1890 vom 29. Juli 2008</w:t>
      </w:r>
    </w:p>
    <w:p>
      <w:r>
        <w:t>Bundesverwaltung, 2008-07-29, DE</w:t>
      </w:r>
    </w:p>
    <w:p>
      <w:r>
        <w:rPr>
          <w:b/>
        </w:rPr>
        <w:t xml:space="preserve">Quelle: </w:t>
      </w:r>
      <w:r>
        <w:t>https://mcp.opencaselaw.ch/entscheid/ch_vb_48_2008-1890_</w:t>
      </w:r>
    </w:p>
    <w:p>
      <w:r>
        <w:t>FR: CH_VB 48 2008-1890 du 29 juillet 2008</w:t>
      </w:r>
    </w:p>
    <w:p>
      <w:r>
        <w:t>IT: CH_VB 48 2008-1890 del 29 luglio 2008</w:t>
      </w:r>
    </w:p>
    <w:p>
      <w:pPr>
        <w:pStyle w:val="Heading2"/>
      </w:pPr>
      <w:r>
        <w:t>Volltext</w:t>
      </w:r>
    </w:p>
    <w:p>
      <w:r>
        <w:t>5648 2008-1890 Exécution de la loi fédérale sur la formation professionnelle SWISS MARKETING (CMS), organe responsable principal, GfM Swissmarketing, SEC Suisse et «SDV Schweizer Direktmarketing Verband» ont déposé un projet de règlement concernant l’examen professionnel de Spécialiste en marketing avec brevet fédéral,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29 juillet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30 Cahier Numero Geschäftsnummer --- Numéro d'affaire Numero dell'oggetto Datum 29.07.2008 Date Data Seite 5648-5648 Page Pagina Ref. No 10 142 027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