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4882 2002-0851 vom 31. Januar 2002</w:t>
      </w:r>
    </w:p>
    <w:p>
      <w:r>
        <w:t>Bundesverwaltung, 2002-01-31, DE</w:t>
      </w:r>
    </w:p>
    <w:p>
      <w:r>
        <w:rPr>
          <w:b/>
        </w:rPr>
        <w:t xml:space="preserve">Quelle: </w:t>
      </w:r>
      <w:r>
        <w:t>https://mcp.opencaselaw.ch/entscheid/ch_vb_4882_2002-0851</w:t>
      </w:r>
    </w:p>
    <w:p>
      <w:r>
        <w:t>FR: CH_VB 4882 2002-0851 du 31 janvier 2002</w:t>
      </w:r>
    </w:p>
    <w:p>
      <w:r>
        <w:t>IT: CH_VB 4882 2002-0851 del 31 gennaio 2002</w:t>
      </w:r>
    </w:p>
    <w:p>
      <w:pPr>
        <w:pStyle w:val="Heading2"/>
      </w:pPr>
      <w:r>
        <w:t>Erwägungen</w:t>
      </w:r>
    </w:p>
    <w:p>
      <w:r>
        <w:rPr>
          <w:b/>
        </w:rPr>
        <w:t>E. 1</w:t>
      </w:r>
    </w:p>
    <w:p>
      <w:r>
        <w:t>La présente Convention s’applique aux impôts sur le revenu et sur la fortune per- 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 tune, y compris les impôts sur les gains provenant de l’aliénation de biens mobiliers ou immobiliers, ainsi que les impôts sur les plus-values.</w:t>
      </w:r>
    </w:p>
    <w:p>
      <w:r>
        <w:rPr>
          <w:b/>
        </w:rPr>
        <w:t>E. 3</w:t>
      </w:r>
    </w:p>
    <w:p>
      <w:r>
        <w:t>Les impôts actuels auxquels s’applique la Convention sont notamment: a) en Lettonie: (i) l’impôt sur le revenu des entreprises (uznemumu ienakuma nodoklis); (ii) l’impôt sur le revenu des personnes physiques (iedzivotaju ienakuma nodoklis); (iii) l’impôt sur la fortune immobilière (nekustama ipasuma nodoklis) (ci-après désignés par «impôt letton»);</w:t>
      </w:r>
    </w:p>
    <w:p>
      <w:r>
        <w:t>1 Traduction du texte orignal allemand.</w:t>
      </w:r>
    </w:p>
    <w:p>
      <w:r>
        <w:t>Double imposition 4883 b)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 tractants se communiquent les modifications importantes apportées à leurs législa- 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 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w:t>
      </w:r>
    </w:p>
    <w:p>
      <w:r>
        <w:t>Double imposition 4886 d’affaires, ne permettraient pas de considérer cette installation comme un établisse- ment stable selon les dispositions de ce paragraphe.</w:t>
      </w:r>
    </w:p>
    <w:p>
      <w:r>
        <w:rPr>
          <w:b/>
        </w:rPr>
        <w:t>E. 6</w:t>
      </w:r>
    </w:p>
    <w:p>
      <w:r>
        <w:t>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Toutefois, si l’activité d’un tel agent est exercée exclusivement ou presque exclusivement pour le compte de cette entreprise et si les conditions convenues entre l’agent et l’entreprise s’écartent de celles que conviendraient des tiers indépendants, l’agent n’est pas considéré comme un agent jouissant d’un statut indépendant au sens du présent paragraphe.</w:t>
      </w:r>
    </w:p>
    <w:p>
      <w:r>
        <w:rPr>
          <w:b/>
        </w:rPr>
        <w:t>E. 7</w:t>
      </w:r>
    </w:p>
    <w:p>
      <w:r>
        <w:t>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le bénéficiaire effectif des redevances est un résident de l’autre Etat contractant, l’impôt ainsi établi ne peut excéder: a) 5 % du montant brut des redevances versées pour l’usage d’équipements industriels, commerciaux ou scientifiques; b)</w:t>
      </w:r>
    </w:p>
    <w:p>
      <w:r>
        <w:rPr>
          <w:b/>
        </w:rPr>
        <w:t>E. 10</w:t>
      </w:r>
    </w:p>
    <w:p>
      <w:r>
        <w:t>126 508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