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4872 2003-1642 vom 5. August 2003</w:t>
      </w:r>
    </w:p>
    <w:p>
      <w:r>
        <w:t>Bundesverwaltung, 2003-08-05, DE</w:t>
      </w:r>
    </w:p>
    <w:p>
      <w:r>
        <w:rPr>
          <w:b/>
        </w:rPr>
        <w:t xml:space="preserve">Quelle: </w:t>
      </w:r>
      <w:r>
        <w:t>https://mcp.opencaselaw.ch/entscheid/ch_vb_4872_2003-1642</w:t>
      </w:r>
    </w:p>
    <w:p>
      <w:r>
        <w:t>FR: CH_VB 4872 2003-1642 du 5 août 2003</w:t>
      </w:r>
    </w:p>
    <w:p>
      <w:r>
        <w:t>IT: CH_VB 4872 2003-1642 del 5 agosto 2003</w:t>
      </w:r>
    </w:p>
    <w:p>
      <w:pPr>
        <w:pStyle w:val="Heading2"/>
      </w:pPr>
      <w:r>
        <w:t>Volltext</w:t>
      </w:r>
    </w:p>
    <w:p>
      <w:r>
        <w:t>4872 2003-1642 Permis concernant la durée du travail octroyés Permis de travail de nuit (sans alternance) (Art. 17 Ltr) – 03-2796 / 102155 Maison Planzer Transports SA, 1217 Meyrin transport de nuit besoins spéciaux de consommation 10 A 04.08.2003–31.12.2004 (Renouvellement) Dérogation basée sur l’art. 28 LTr – 03-2797 / 102156 Planzer (Valais) SA, 1950 Sion transport de nuit besoins spéciaux de consommation 4 A 04.08.2003–31.12.2004 (Renouvellement/modification) Dérogation basée sur l’art. 28 LTr Permis de travail du dimanche et de jours fériés (Art. 19 et 20a LTr) – 03-2749 / 100024 UCB Farchim SA (UCB Farchim AG) (UCB Farchim Ltd), 1630 Bulle production et contrôle (flux continu) horaire d’exploitation indispensable pour des raisons techniques et économiques 30 A 10.08.2003–12.08.2006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5 août 2003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30 Cahier Numero Geschäftsnummer --- Numéro d'affaire Numero dell'oggetto Datum 05.08.2003 Date Data Seite 4872-4872 Page Pagina Ref. No 10 127 548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