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4726 2008-1533 vom 19. Mai 2008</w:t>
      </w:r>
    </w:p>
    <w:p>
      <w:r>
        <w:t>Bundesverwaltung, 2008-05-19, DE</w:t>
      </w:r>
    </w:p>
    <w:p>
      <w:r>
        <w:rPr>
          <w:b/>
        </w:rPr>
        <w:t xml:space="preserve">Quelle: </w:t>
      </w:r>
      <w:r>
        <w:t>https://mcp.opencaselaw.ch/entscheid/ch_vb_4726_2008-1533_</w:t>
      </w:r>
    </w:p>
    <w:p>
      <w:r>
        <w:t>FR: CH_VB 4726 2008-1533 du 19 mai 2008</w:t>
      </w:r>
    </w:p>
    <w:p>
      <w:r>
        <w:t>IT: CH_VB 4726 2008-1533 del 19 maggio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de Jasper King (art. 112 ss OLMJ), Le montant restant de 200 francs, après déduction de l’avance de frais de 400 francs, doit être payé dans les 30 jours après l’entrée en force de la présente décision. La facture correspondante sera envoyée.</w:t>
      </w:r>
    </w:p>
    <w:p>
      <w:r>
        <w:rPr>
          <w:b/>
        </w:rPr>
        <w:t>E. 4</w:t>
      </w:r>
    </w:p>
    <w:p>
      <w:r>
        <w:t>Cette décision est communiquée aux cantons et publiée dans la Feuille fédé- rale.</w:t>
      </w:r>
    </w:p>
    <w:p>
      <w:r>
        <w:rPr>
          <w:b/>
        </w:rPr>
        <w:t>E. 5</w:t>
      </w:r>
    </w:p>
    <w:p>
      <w:r>
        <w:t>Notifiée à: – Jasper King, Avenue Krieg 21, 1208 Genève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Jasper King In Bundesblatt Dans Feuille fédérale In Foglio federale Jahr 2008 Année Anno Band 1 Volume Volume Heft 24 Cahier Numero Geschäftsnummer --- Numéro d'affaire Numero dell'oggetto Datum 17.06.2008 Date Data Seite 4726-4726 Page Pagina Ref. No</w:t>
      </w:r>
    </w:p>
    <w:p>
      <w:r>
        <w:rPr>
          <w:b/>
        </w:rPr>
        <w:t>E. 10</w:t>
      </w:r>
    </w:p>
    <w:p>
      <w:r>
        <w:t>141 858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