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464 2004-0183 vom 23. Juni 1999</w:t>
      </w:r>
    </w:p>
    <w:p>
      <w:r>
        <w:t>Bundesverwaltung, 1999-06-23, DE</w:t>
      </w:r>
    </w:p>
    <w:p>
      <w:r>
        <w:rPr>
          <w:b/>
        </w:rPr>
        <w:t xml:space="preserve">Quelle: </w:t>
      </w:r>
      <w:r>
        <w:t>https://mcp.opencaselaw.ch/entscheid/ch_vb_464_2004-0183_</w:t>
      </w:r>
    </w:p>
    <w:p>
      <w:r>
        <w:t>FR: CH_VB 464 2004-0183 du 23 juin 1999</w:t>
      </w:r>
    </w:p>
    <w:p>
      <w:r>
        <w:t>IT: CH_VB 464 2004-0183 del 23 giugno 1999</w:t>
      </w:r>
    </w:p>
    <w:p>
      <w:pPr>
        <w:pStyle w:val="Heading2"/>
      </w:pPr>
      <w:r>
        <w:t>Erwägungen</w:t>
      </w:r>
    </w:p>
    <w:p>
      <w:r>
        <w:rPr>
          <w:b/>
        </w:rPr>
        <w:t>E. 1</w:t>
      </w:r>
    </w:p>
    <w:p>
      <w:r>
        <w:t>Caractéristiques du produit (pour tous les produits mentionnés) Substance(s) active(s): Chlorothalonil (TCPN) 40 % Formulation: SC</w:t>
      </w:r>
    </w:p>
    <w:p>
      <w:r>
        <w:rPr>
          <w:b/>
        </w:rPr>
        <w:t>E. 2</w:t>
      </w:r>
    </w:p>
    <w:p>
      <w:r>
        <w:t>Produits commerciaux Bravo 500 Numéro d’homologation suisse: D-2703</w:t>
      </w:r>
    </w:p>
    <w:p>
      <w:r>
        <w:t>pays d’origine: Allemagne</w:t>
      </w:r>
    </w:p>
    <w:p>
      <w:r>
        <w:t>numéro d’homologation étranger: 23138-60</w:t>
      </w:r>
    </w:p>
    <w:p>
      <w:r>
        <w:t>distributeur: Novartis Agro GmbH, Liebigstrasse 51–53,</w:t>
      </w:r>
    </w:p>
    <w:p>
      <w:r>
        <w:t>Postfach 110353, 60038 Frankfurt Cloral FL Numéro d’homologation suisse: I-2702</w:t>
      </w:r>
    </w:p>
    <w:p>
      <w:r>
        <w:t>pays d’origine: Italie</w:t>
      </w:r>
    </w:p>
    <w:p>
      <w:r>
        <w:t>numéro d’homologation étranger: 8199</w:t>
      </w:r>
    </w:p>
    <w:p>
      <w:r>
        <w:t>distributeur: Terranalisi, Via Donizetti 2/A,</w:t>
      </w:r>
    </w:p>
    <w:p>
      <w:r>
        <w:t>44042 Cento Clortocaffaro Flow Numéro d’homologation suisse: I-2705</w:t>
      </w:r>
    </w:p>
    <w:p>
      <w:r>
        <w:t>pays d’origine: Italie</w:t>
      </w:r>
    </w:p>
    <w:p>
      <w:r>
        <w:t>numéro d’homologation étranger: 7051</w:t>
      </w:r>
    </w:p>
    <w:p>
      <w:r>
        <w:t>distributeur: Caffaro, Via Friuli 55,</w:t>
      </w:r>
    </w:p>
    <w:p>
      <w:r>
        <w:t>20031 Cesano Maderno Daconil 2787 Extra Numéro d’homologation suisse: D-2702</w:t>
      </w:r>
    </w:p>
    <w:p>
      <w:r>
        <w:t>pays d’origine: Allemagne</w:t>
      </w:r>
    </w:p>
    <w:p>
      <w:r>
        <w:t>numéro d’homologation étranger: 23138-00</w:t>
      </w:r>
    </w:p>
    <w:p>
      <w:r>
        <w:t>distributeur: Novartis Agro GmbH, Liebigstrasse 51–53,</w:t>
      </w:r>
    </w:p>
    <w:p>
      <w:r>
        <w:t>Postfach 110353, 60038 Frankfurt</w:t>
      </w:r>
    </w:p>
    <w:p>
      <w:r>
        <w:t>1 RS 916.161</w:t>
      </w:r>
    </w:p>
    <w:p>
      <w:r>
        <w:t>465 Ortoflo Numéro d’homologation suisse: I-2714</w:t>
      </w:r>
    </w:p>
    <w:p>
      <w:r>
        <w:t>pays d’origine: Italie</w:t>
      </w:r>
    </w:p>
    <w:p>
      <w:r>
        <w:t>numéro d’homologation étranger: 8829</w:t>
      </w:r>
    </w:p>
    <w:p>
      <w:r>
        <w:t>distributeur: Chemia, Via Statale 327, 44040 Dosso Talonil FL Numéro d’homologation suisse: I-2717</w:t>
      </w:r>
    </w:p>
    <w:p>
      <w:r>
        <w:t>pays d’origine: Italie</w:t>
      </w:r>
    </w:p>
    <w:p>
      <w:r>
        <w:t>numéro d’homologation étranger: 6296</w:t>
      </w:r>
    </w:p>
    <w:p>
      <w:r>
        <w:t>distributeur: Scam, Via Bellaria 164,</w:t>
      </w:r>
    </w:p>
    <w:p>
      <w:r>
        <w:t>41050 S.Maria di Mugnano Applications autorisées: Domaine d’application Maladie / effets Mode d’application (*)</w:t>
      </w:r>
    </w:p>
    <w:p>
      <w:r>
        <w:t>Viticulture</w:t>
      </w:r>
    </w:p>
    <w:p>
      <w:r>
        <w:t>toutes les cultures Mildiou de la vigne, rougeot parasitaire de la vigne, excoriose de la vigne Concentration: 0.3 % Application: traitements pré-floraux uniquement</w:t>
      </w:r>
    </w:p>
    <w:p>
      <w:r>
        <w:t>Culture maraîchère</w:t>
      </w:r>
    </w:p>
    <w:p>
      <w:r>
        <w:t>Aubergine, tomate Alternariose Concentration: 0.3 %</w:t>
      </w:r>
    </w:p>
    <w:p>
      <w:r>
        <w:t>Délai d’attente: 3 semaines</w:t>
      </w:r>
    </w:p>
    <w:p>
      <w:r>
        <w:t>Carotte Alternariose de la carotte Concentration: 0.3 %</w:t>
      </w:r>
    </w:p>
    <w:p>
      <w:r>
        <w:t>Délai d’attente: 3 semaines</w:t>
      </w:r>
    </w:p>
    <w:p>
      <w:r>
        <w:t>Céleri-pomme Septoriose du céleri Concentration: 0.3 %</w:t>
      </w:r>
    </w:p>
    <w:p>
      <w:r>
        <w:t>Délai d’attente: 3 semaines</w:t>
      </w:r>
    </w:p>
    <w:p>
      <w:r>
        <w:t>Asperge Brûlure des feuilles de l’asperge Concentration: 0.3 %</w:t>
      </w:r>
    </w:p>
    <w:p>
      <w:r>
        <w:t>Champignons comestibles (champignons de culture) Môle sèche Dosage: 4.5 ml/m2 Application: arroser après couverture 1</w:t>
      </w:r>
    </w:p>
    <w:p>
      <w:r>
        <w:t>Tomate Mildiou de la tomate, septoriose de la tomate/aubergine Concentration: 0.3 % Délai d’attente: 3 semaines</w:t>
      </w:r>
    </w:p>
    <w:p>
      <w:r>
        <w:t>Oignon Mildiou de l’oignon Concentration: 0.3 % Délai d’attente: 3 semaines</w:t>
      </w:r>
    </w:p>
    <w:p>
      <w:r>
        <w:t>Grande culture</w:t>
      </w:r>
    </w:p>
    <w:p>
      <w:r>
        <w:t>Pomme de terre Alternariose, mildiou de la pomme de terre Dosage: 3 l/ha Délai d’attente: 3 semaines 2, 3,</w:t>
      </w:r>
    </w:p>
    <w:p>
      <w:r>
        <w:rPr>
          <w:b/>
        </w:rPr>
        <w:t>E. 4</w:t>
      </w:r>
    </w:p>
    <w:p>
      <w:r>
        <w:t>= Deux semaines de délai d’attente pour les pommes de terre primeurs.</w:t>
      </w:r>
    </w:p>
    <w:p>
      <w:r>
        <w:rPr>
          <w:b/>
        </w:rPr>
        <w:t>E. 5</w:t>
      </w:r>
    </w:p>
    <w:p>
      <w:r>
        <w:t>= 1 traitement au maximum vers la fin de l’épiaison et jusqu’au début de l’anthèse (BBCH 57–61).</w:t>
      </w:r>
    </w:p>
    <w:p>
      <w:r>
        <w:rPr>
          <w:b/>
        </w:rPr>
        <w:t>E. 6</w:t>
      </w:r>
    </w:p>
    <w:p>
      <w:r>
        <w:t>= Dans les exposition présentant un risque de septoriose et sur les variétés sensibles.</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être attaquée, dans un délai de 30 jours à compter de sa notification, auprès de la Commission de recours DFE (REKO/DFE), 3202 Frauen- kappelen.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w:t>
      </w:r>
    </w:p>
    <w:p>
      <w:r>
        <w:rPr>
          <w:b/>
        </w:rPr>
        <w:t>E. 10</w:t>
      </w:r>
    </w:p>
    <w:p>
      <w:r>
        <w:t>137 369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