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446 2004-0176 vom 29. Januar 2004</w:t>
      </w:r>
    </w:p>
    <w:p>
      <w:r>
        <w:t>Bundesverwaltung, 2004-01-29, DE</w:t>
      </w:r>
    </w:p>
    <w:p>
      <w:r>
        <w:rPr>
          <w:b/>
        </w:rPr>
        <w:t xml:space="preserve">Quelle: </w:t>
      </w:r>
      <w:r>
        <w:t>https://mcp.opencaselaw.ch/entscheid/ch_vb_446_2004-0176_</w:t>
      </w:r>
    </w:p>
    <w:p>
      <w:r>
        <w:t>FR: CH_VB 446 2004-0176 du 29 janvier 2004</w:t>
      </w:r>
    </w:p>
    <w:p>
      <w:r>
        <w:t>IT: CH_VB 446 2004-0176 del 29 gennaio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défenderesse est exclue de la présente procédure d’opposition.</w:t>
      </w:r>
    </w:p>
    <w:p>
      <w:r>
        <w:rPr>
          <w:b/>
        </w:rPr>
        <w:t>E. 2</w:t>
      </w:r>
    </w:p>
    <w:p>
      <w:r>
        <w:t>L’opposition n° 6464 à l’encontre de l’enregistrement international n° 795 188 «FLUMIL» (fig.) est partiellement admise.</w:t>
      </w:r>
    </w:p>
    <w:p>
      <w:r>
        <w:rPr>
          <w:b/>
        </w:rPr>
        <w:t>E. 3</w:t>
      </w:r>
    </w:p>
    <w:p>
      <w:r>
        <w:t>Après l’entrée en force de la présente décision, l’enregistrement internatio- nal n° 795 188 sera partiellement refusé à la protection en Suisse pour les produits suivants: «produits pharmaceutiques, vétérinaires et hygiéniques, substances diététiques à usage médical, aliments pour bébés; emplâtres et matériel pour pansement; désinfectants; produits pour la destruction des animaux nuisibles; fongicides». Le refus partiel sera communiqué par décla- ration à l’OMPI.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29 janvier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6464 In Bundesblatt Dans Feuille fédérale In Foglio federale Jahr 2004 Année Anno Band 1 Volume Volume Heft 05 Cahier Numero Geschäftsnummer --- Numéro d'affaire Numero dell'oggetto Datum 10.02.2004 Date Data Seite 446-446 Page Pagina Ref. No</w:t>
      </w:r>
    </w:p>
    <w:p>
      <w:r>
        <w:rPr>
          <w:b/>
        </w:rPr>
        <w:t>E. 10</w:t>
      </w:r>
    </w:p>
    <w:p>
      <w:r>
        <w:t>137 362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